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FF8" w:rsidRDefault="00AA4FF8" w:rsidP="003049BC">
      <w:bookmarkStart w:id="0" w:name="_GoBack"/>
      <w:bookmarkEnd w:id="0"/>
    </w:p>
    <w:p w:rsidR="003049BC" w:rsidRDefault="003049BC" w:rsidP="003049BC"/>
    <w:p w:rsidR="003049BC" w:rsidRDefault="003049BC" w:rsidP="003049BC"/>
    <w:p w:rsidR="003049BC" w:rsidRDefault="003049BC" w:rsidP="003049BC"/>
    <w:p w:rsidR="003049BC" w:rsidRDefault="003049BC" w:rsidP="003049BC"/>
    <w:p w:rsidR="00AE334D" w:rsidRPr="008C77F6" w:rsidRDefault="00F1407F" w:rsidP="008C77F6">
      <w:pPr>
        <w:pStyle w:val="Ttulo1"/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cs="Arial"/>
          <w:b w:val="0"/>
          <w:szCs w:val="24"/>
        </w:rPr>
      </w:pPr>
      <w:r w:rsidRPr="008C77F6">
        <w:rPr>
          <w:rFonts w:ascii="Arial" w:hAnsi="Arial" w:cs="Arial"/>
          <w:szCs w:val="24"/>
        </w:rPr>
        <w:t>DA</w:t>
      </w:r>
      <w:r w:rsidR="00AE334D" w:rsidRPr="008C77F6">
        <w:rPr>
          <w:rFonts w:ascii="Arial" w:hAnsi="Arial" w:cs="Arial"/>
          <w:szCs w:val="24"/>
        </w:rPr>
        <w:t xml:space="preserve"> ISENÇÃO DE CUSTAS</w:t>
      </w:r>
    </w:p>
    <w:p w:rsidR="00AE334D" w:rsidRPr="008C77F6" w:rsidRDefault="00AE334D" w:rsidP="00AE334D">
      <w:pPr>
        <w:spacing w:line="360" w:lineRule="auto"/>
        <w:rPr>
          <w:rFonts w:cs="Arial"/>
          <w:b/>
          <w:szCs w:val="24"/>
        </w:rPr>
      </w:pPr>
    </w:p>
    <w:p w:rsidR="00F81A02" w:rsidRPr="008C77F6" w:rsidRDefault="00697F25" w:rsidP="00F81A02">
      <w:pPr>
        <w:spacing w:line="360" w:lineRule="auto"/>
        <w:ind w:firstLine="1701"/>
        <w:jc w:val="both"/>
        <w:rPr>
          <w:rFonts w:cs="Arial"/>
          <w:iCs/>
          <w:spacing w:val="2"/>
          <w:szCs w:val="24"/>
        </w:rPr>
      </w:pPr>
      <w:r w:rsidRPr="008C77F6">
        <w:rPr>
          <w:rFonts w:cs="Arial"/>
          <w:b/>
          <w:iCs/>
          <w:spacing w:val="2"/>
          <w:szCs w:val="24"/>
        </w:rPr>
        <w:t>1</w:t>
      </w:r>
      <w:r w:rsidR="00704DC2" w:rsidRPr="008C77F6">
        <w:rPr>
          <w:rFonts w:cs="Arial"/>
          <w:iCs/>
          <w:spacing w:val="2"/>
          <w:szCs w:val="24"/>
        </w:rPr>
        <w:t xml:space="preserve"> -</w:t>
      </w:r>
      <w:r w:rsidRPr="008C77F6">
        <w:rPr>
          <w:rFonts w:cs="Arial"/>
          <w:iCs/>
          <w:spacing w:val="2"/>
          <w:szCs w:val="24"/>
        </w:rPr>
        <w:t xml:space="preserve"> O</w:t>
      </w:r>
      <w:r w:rsidR="00F1407A" w:rsidRPr="008C77F6">
        <w:rPr>
          <w:rFonts w:cs="Arial"/>
          <w:iCs/>
          <w:spacing w:val="2"/>
          <w:szCs w:val="24"/>
        </w:rPr>
        <w:t xml:space="preserve"> artigo 85</w:t>
      </w:r>
      <w:r w:rsidRPr="008C77F6">
        <w:rPr>
          <w:rStyle w:val="Refdenotaderodap"/>
          <w:rFonts w:cs="Arial"/>
          <w:iCs/>
          <w:spacing w:val="2"/>
          <w:szCs w:val="24"/>
        </w:rPr>
        <w:footnoteReference w:id="1"/>
      </w:r>
      <w:r w:rsidR="00F1407A" w:rsidRPr="008C77F6">
        <w:rPr>
          <w:rFonts w:cs="Arial"/>
          <w:iCs/>
          <w:spacing w:val="2"/>
          <w:szCs w:val="24"/>
        </w:rPr>
        <w:t>, § 14</w:t>
      </w:r>
      <w:r w:rsidR="008C77F6" w:rsidRPr="008C77F6">
        <w:rPr>
          <w:rFonts w:cs="Arial"/>
          <w:iCs/>
          <w:spacing w:val="2"/>
          <w:szCs w:val="24"/>
        </w:rPr>
        <w:t>,</w:t>
      </w:r>
      <w:r w:rsidR="00F1407A" w:rsidRPr="008C77F6">
        <w:rPr>
          <w:rFonts w:cs="Arial"/>
          <w:iCs/>
          <w:spacing w:val="2"/>
          <w:szCs w:val="24"/>
        </w:rPr>
        <w:t xml:space="preserve"> do CPC</w:t>
      </w:r>
      <w:r w:rsidR="008C77F6" w:rsidRPr="008C77F6">
        <w:rPr>
          <w:rFonts w:cs="Arial"/>
          <w:iCs/>
          <w:spacing w:val="2"/>
          <w:szCs w:val="24"/>
        </w:rPr>
        <w:t>,</w:t>
      </w:r>
      <w:r w:rsidR="00F1407A" w:rsidRPr="008C77F6">
        <w:rPr>
          <w:rFonts w:cs="Arial"/>
          <w:iCs/>
          <w:spacing w:val="2"/>
          <w:szCs w:val="24"/>
        </w:rPr>
        <w:t xml:space="preserve"> veio normatizar a natureza alimentar</w:t>
      </w:r>
      <w:r w:rsidR="002D2B6F" w:rsidRPr="008C77F6">
        <w:rPr>
          <w:rFonts w:cs="Arial"/>
          <w:iCs/>
          <w:spacing w:val="2"/>
          <w:szCs w:val="24"/>
        </w:rPr>
        <w:t xml:space="preserve"> dos honorários</w:t>
      </w:r>
      <w:r w:rsidR="00F1407A" w:rsidRPr="008C77F6">
        <w:rPr>
          <w:rFonts w:cs="Arial"/>
          <w:iCs/>
          <w:spacing w:val="2"/>
          <w:szCs w:val="24"/>
        </w:rPr>
        <w:t>, tornando-</w:t>
      </w:r>
      <w:r w:rsidR="000B0EC5" w:rsidRPr="008C77F6">
        <w:rPr>
          <w:rFonts w:cs="Arial"/>
          <w:iCs/>
          <w:spacing w:val="2"/>
          <w:szCs w:val="24"/>
        </w:rPr>
        <w:t xml:space="preserve">a </w:t>
      </w:r>
      <w:r w:rsidR="00F1407A" w:rsidRPr="008C77F6">
        <w:rPr>
          <w:rFonts w:cs="Arial"/>
          <w:iCs/>
          <w:spacing w:val="2"/>
          <w:szCs w:val="24"/>
        </w:rPr>
        <w:t>indiscutível</w:t>
      </w:r>
      <w:r w:rsidR="000B0EC5" w:rsidRPr="008C77F6">
        <w:rPr>
          <w:rFonts w:cs="Arial"/>
          <w:iCs/>
          <w:spacing w:val="2"/>
          <w:szCs w:val="24"/>
        </w:rPr>
        <w:t>. V</w:t>
      </w:r>
      <w:r w:rsidR="000E1DB8">
        <w:rPr>
          <w:rFonts w:cs="Arial"/>
          <w:iCs/>
          <w:spacing w:val="2"/>
          <w:szCs w:val="24"/>
        </w:rPr>
        <w:t>eja</w:t>
      </w:r>
      <w:r w:rsidR="00F1407A" w:rsidRPr="008C77F6">
        <w:rPr>
          <w:rFonts w:cs="Arial"/>
          <w:iCs/>
          <w:spacing w:val="2"/>
          <w:szCs w:val="24"/>
        </w:rPr>
        <w:t>:</w:t>
      </w:r>
    </w:p>
    <w:p w:rsidR="00F1407A" w:rsidRPr="008C77F6" w:rsidRDefault="00F1407A" w:rsidP="00F81A02">
      <w:pPr>
        <w:spacing w:line="360" w:lineRule="auto"/>
        <w:ind w:firstLine="1701"/>
        <w:jc w:val="both"/>
        <w:rPr>
          <w:rFonts w:cs="Arial"/>
          <w:iCs/>
          <w:spacing w:val="2"/>
          <w:szCs w:val="24"/>
        </w:rPr>
      </w:pPr>
    </w:p>
    <w:p w:rsidR="00697F25" w:rsidRPr="008C77F6" w:rsidRDefault="00F1407A" w:rsidP="000B0EC5">
      <w:pPr>
        <w:ind w:left="1701"/>
        <w:jc w:val="both"/>
        <w:rPr>
          <w:rFonts w:cs="Arial"/>
          <w:strike/>
          <w:sz w:val="22"/>
          <w:szCs w:val="22"/>
        </w:rPr>
      </w:pPr>
      <w:r w:rsidRPr="008C77F6">
        <w:rPr>
          <w:rFonts w:cs="Arial"/>
          <w:sz w:val="22"/>
          <w:szCs w:val="22"/>
        </w:rPr>
        <w:t xml:space="preserve">§ 14.  Os honorários constituem direito do advogado e </w:t>
      </w:r>
      <w:r w:rsidRPr="008C77F6">
        <w:rPr>
          <w:rFonts w:cs="Arial"/>
          <w:b/>
          <w:sz w:val="22"/>
          <w:szCs w:val="22"/>
          <w:u w:val="single"/>
        </w:rPr>
        <w:t>têm natureza alimentar</w:t>
      </w:r>
      <w:r w:rsidRPr="008C77F6">
        <w:rPr>
          <w:rFonts w:cs="Arial"/>
          <w:sz w:val="22"/>
          <w:szCs w:val="22"/>
          <w:u w:val="single"/>
        </w:rPr>
        <w:t>,</w:t>
      </w:r>
      <w:r w:rsidRPr="008C77F6">
        <w:rPr>
          <w:rFonts w:cs="Arial"/>
          <w:sz w:val="22"/>
          <w:szCs w:val="22"/>
        </w:rPr>
        <w:t xml:space="preserve"> com os mesmos privilégios dos créditos oriundos da legislação do trabalho, sendo vedada a compensação em caso de sucumbência parcial. </w:t>
      </w:r>
      <w:r w:rsidR="004B5D4D" w:rsidRPr="008C77F6">
        <w:rPr>
          <w:rFonts w:cs="Arial"/>
          <w:sz w:val="22"/>
          <w:szCs w:val="22"/>
        </w:rPr>
        <w:t>Grifo nosso</w:t>
      </w:r>
      <w:r w:rsidRPr="008C77F6">
        <w:rPr>
          <w:rFonts w:cs="Arial"/>
          <w:sz w:val="22"/>
          <w:szCs w:val="22"/>
        </w:rPr>
        <w:t>.</w:t>
      </w:r>
      <w:r w:rsidR="004B5D4D" w:rsidRPr="008C77F6">
        <w:rPr>
          <w:rFonts w:cs="Arial"/>
          <w:sz w:val="22"/>
          <w:szCs w:val="22"/>
        </w:rPr>
        <w:t xml:space="preserve"> </w:t>
      </w:r>
    </w:p>
    <w:p w:rsidR="00597DAD" w:rsidRPr="008C77F6" w:rsidRDefault="00597DAD" w:rsidP="000B0EC5">
      <w:pPr>
        <w:spacing w:line="360" w:lineRule="auto"/>
        <w:ind w:firstLine="1701"/>
        <w:jc w:val="both"/>
        <w:rPr>
          <w:rFonts w:cs="Arial"/>
          <w:b/>
          <w:sz w:val="22"/>
          <w:szCs w:val="22"/>
        </w:rPr>
      </w:pPr>
    </w:p>
    <w:p w:rsidR="00697F25" w:rsidRPr="008C77F6" w:rsidRDefault="00697F25" w:rsidP="002D2B6F">
      <w:pPr>
        <w:spacing w:line="360" w:lineRule="auto"/>
        <w:ind w:firstLine="1701"/>
        <w:jc w:val="both"/>
        <w:rPr>
          <w:rFonts w:cs="Arial"/>
          <w:iCs/>
          <w:spacing w:val="2"/>
          <w:szCs w:val="24"/>
          <w:u w:val="single"/>
        </w:rPr>
      </w:pPr>
      <w:r w:rsidRPr="008C77F6">
        <w:rPr>
          <w:rFonts w:cs="Arial"/>
          <w:b/>
          <w:sz w:val="22"/>
          <w:szCs w:val="22"/>
        </w:rPr>
        <w:t>2</w:t>
      </w:r>
      <w:r w:rsidRPr="008C77F6">
        <w:rPr>
          <w:rFonts w:cs="Arial"/>
          <w:sz w:val="22"/>
          <w:szCs w:val="22"/>
        </w:rPr>
        <w:t xml:space="preserve"> </w:t>
      </w:r>
      <w:r w:rsidR="000B0EC5" w:rsidRPr="008C77F6">
        <w:rPr>
          <w:rFonts w:cs="Arial"/>
          <w:sz w:val="22"/>
          <w:szCs w:val="22"/>
        </w:rPr>
        <w:t>-</w:t>
      </w:r>
      <w:r w:rsidR="00771300" w:rsidRPr="008C77F6">
        <w:rPr>
          <w:rFonts w:cs="Arial"/>
          <w:b/>
          <w:sz w:val="22"/>
          <w:szCs w:val="22"/>
        </w:rPr>
        <w:t xml:space="preserve"> </w:t>
      </w:r>
      <w:r w:rsidR="00771300" w:rsidRPr="008C77F6">
        <w:rPr>
          <w:rFonts w:cs="Arial"/>
          <w:sz w:val="22"/>
          <w:szCs w:val="22"/>
        </w:rPr>
        <w:t>O</w:t>
      </w:r>
      <w:r w:rsidR="008C77F6" w:rsidRPr="008C77F6">
        <w:rPr>
          <w:rFonts w:cs="Arial"/>
          <w:szCs w:val="24"/>
        </w:rPr>
        <w:t xml:space="preserve"> E</w:t>
      </w:r>
      <w:r w:rsidR="005327E1" w:rsidRPr="008C77F6">
        <w:rPr>
          <w:rFonts w:cs="Arial"/>
          <w:szCs w:val="24"/>
        </w:rPr>
        <w:t>grégio Tribunal de Justiça do Estado do Rio Grande do Sul,</w:t>
      </w:r>
      <w:r w:rsidR="00771300" w:rsidRPr="008C77F6">
        <w:rPr>
          <w:rFonts w:cs="Arial"/>
          <w:szCs w:val="24"/>
        </w:rPr>
        <w:t xml:space="preserve"> em consonância com o que vem sendo decidido </w:t>
      </w:r>
      <w:r w:rsidR="00F1407F" w:rsidRPr="008C77F6">
        <w:rPr>
          <w:rFonts w:cs="Arial"/>
          <w:szCs w:val="24"/>
        </w:rPr>
        <w:t>pelo</w:t>
      </w:r>
      <w:r w:rsidR="005327E1" w:rsidRPr="008C77F6">
        <w:rPr>
          <w:rFonts w:cs="Arial"/>
          <w:szCs w:val="24"/>
        </w:rPr>
        <w:t xml:space="preserve"> Superior Tribunal de Justiça</w:t>
      </w:r>
      <w:r w:rsidR="000B0EC5" w:rsidRPr="008C77F6">
        <w:rPr>
          <w:rFonts w:cs="Arial"/>
          <w:szCs w:val="24"/>
        </w:rPr>
        <w:t>,</w:t>
      </w:r>
      <w:r w:rsidR="005327E1" w:rsidRPr="008C77F6">
        <w:rPr>
          <w:rFonts w:cs="Arial"/>
          <w:szCs w:val="24"/>
        </w:rPr>
        <w:t xml:space="preserve"> </w:t>
      </w:r>
      <w:r w:rsidR="00771300" w:rsidRPr="008C77F6">
        <w:rPr>
          <w:rFonts w:cs="Arial"/>
          <w:szCs w:val="24"/>
        </w:rPr>
        <w:t>possui</w:t>
      </w:r>
      <w:r w:rsidR="005327E1" w:rsidRPr="008C77F6">
        <w:rPr>
          <w:rFonts w:cs="Arial"/>
          <w:szCs w:val="24"/>
        </w:rPr>
        <w:t xml:space="preserve"> entendimento no sentido de que </w:t>
      </w:r>
      <w:r w:rsidR="002D2B6F" w:rsidRPr="008C77F6">
        <w:rPr>
          <w:rFonts w:cs="Arial"/>
          <w:b/>
          <w:szCs w:val="24"/>
        </w:rPr>
        <w:t>tanto os honorários sucumbenciais quanto os contratuais</w:t>
      </w:r>
      <w:r w:rsidR="00771300" w:rsidRPr="008C77F6">
        <w:rPr>
          <w:rFonts w:cs="Arial"/>
          <w:b/>
          <w:szCs w:val="24"/>
        </w:rPr>
        <w:t xml:space="preserve"> possuem natureza alimentar</w:t>
      </w:r>
      <w:r w:rsidR="000B0EC5" w:rsidRPr="008C77F6">
        <w:rPr>
          <w:rFonts w:cs="Arial"/>
          <w:szCs w:val="24"/>
        </w:rPr>
        <w:t>. V</w:t>
      </w:r>
      <w:r w:rsidR="00771300" w:rsidRPr="008C77F6">
        <w:rPr>
          <w:rFonts w:cs="Arial"/>
          <w:szCs w:val="24"/>
        </w:rPr>
        <w:t>eja:</w:t>
      </w:r>
    </w:p>
    <w:p w:rsidR="00F1407A" w:rsidRPr="008C77F6" w:rsidRDefault="00F1407A" w:rsidP="000B0EC5">
      <w:pPr>
        <w:spacing w:line="360" w:lineRule="auto"/>
        <w:rPr>
          <w:rStyle w:val="firstementa"/>
        </w:rPr>
      </w:pPr>
    </w:p>
    <w:p w:rsidR="00F1407A" w:rsidRPr="008C77F6" w:rsidRDefault="00F1407A" w:rsidP="00771300">
      <w:pPr>
        <w:ind w:left="1701"/>
        <w:jc w:val="both"/>
        <w:rPr>
          <w:rStyle w:val="firstementa"/>
          <w:sz w:val="22"/>
          <w:szCs w:val="22"/>
        </w:rPr>
      </w:pPr>
      <w:r w:rsidRPr="008C77F6">
        <w:rPr>
          <w:rStyle w:val="firstementa"/>
          <w:sz w:val="22"/>
          <w:szCs w:val="22"/>
        </w:rPr>
        <w:t xml:space="preserve">AGRAVO DE INSTRUMENTO. DIREITO PRIVADO NÃO ESPECIFICADO. EXECUÇÃO DE </w:t>
      </w:r>
      <w:r w:rsidRPr="008C77F6">
        <w:rPr>
          <w:rStyle w:val="marcapalavra"/>
          <w:sz w:val="22"/>
          <w:szCs w:val="22"/>
        </w:rPr>
        <w:t>HONORÁRIOS</w:t>
      </w:r>
      <w:r w:rsidRPr="008C77F6">
        <w:rPr>
          <w:rStyle w:val="firstementa"/>
          <w:sz w:val="22"/>
          <w:szCs w:val="22"/>
        </w:rPr>
        <w:t xml:space="preserve"> ADVOCATÍCIOS. ARGUIÇÃO DE IMPENHORABILIDADE DE PROVENTOS. </w:t>
      </w:r>
      <w:r w:rsidRPr="008C77F6">
        <w:rPr>
          <w:rStyle w:val="firstementa"/>
          <w:b/>
          <w:sz w:val="22"/>
          <w:szCs w:val="22"/>
          <w:u w:val="single"/>
        </w:rPr>
        <w:t xml:space="preserve">Segundo o artigo 85, § 14, do CPC e a reiterada jurisprudência do STJ, os </w:t>
      </w:r>
      <w:r w:rsidRPr="008C77F6">
        <w:rPr>
          <w:rStyle w:val="marcapalavra"/>
          <w:b/>
          <w:sz w:val="22"/>
          <w:szCs w:val="22"/>
          <w:u w:val="single"/>
        </w:rPr>
        <w:t>honorários</w:t>
      </w:r>
      <w:r w:rsidRPr="008C77F6">
        <w:rPr>
          <w:rStyle w:val="firstementa"/>
          <w:b/>
          <w:sz w:val="22"/>
          <w:szCs w:val="22"/>
          <w:u w:val="single"/>
        </w:rPr>
        <w:t xml:space="preserve"> advocatícios, sucumbenciais ou </w:t>
      </w:r>
      <w:r w:rsidRPr="008C77F6">
        <w:rPr>
          <w:rStyle w:val="marcapalavra"/>
          <w:b/>
          <w:sz w:val="22"/>
          <w:szCs w:val="22"/>
          <w:u w:val="single"/>
        </w:rPr>
        <w:t>contratuais</w:t>
      </w:r>
      <w:r w:rsidRPr="008C77F6">
        <w:rPr>
          <w:rStyle w:val="firstementa"/>
          <w:b/>
          <w:sz w:val="22"/>
          <w:szCs w:val="22"/>
          <w:u w:val="single"/>
        </w:rPr>
        <w:t>,</w:t>
      </w:r>
      <w:r w:rsidRPr="008C77F6">
        <w:rPr>
          <w:b/>
          <w:sz w:val="22"/>
          <w:szCs w:val="22"/>
          <w:u w:val="single"/>
        </w:rPr>
        <w:t xml:space="preserve"> </w:t>
      </w:r>
      <w:r w:rsidRPr="008C77F6">
        <w:rPr>
          <w:rStyle w:val="hidden"/>
          <w:b/>
          <w:sz w:val="22"/>
          <w:szCs w:val="22"/>
          <w:u w:val="single"/>
        </w:rPr>
        <w:t xml:space="preserve">possuem </w:t>
      </w:r>
      <w:r w:rsidRPr="008C77F6">
        <w:rPr>
          <w:rStyle w:val="marcapalavra"/>
          <w:b/>
          <w:sz w:val="22"/>
          <w:szCs w:val="22"/>
          <w:u w:val="single"/>
        </w:rPr>
        <w:t>natureza</w:t>
      </w:r>
      <w:r w:rsidRPr="008C77F6">
        <w:rPr>
          <w:rStyle w:val="hidden"/>
          <w:b/>
          <w:sz w:val="22"/>
          <w:szCs w:val="22"/>
          <w:u w:val="single"/>
        </w:rPr>
        <w:t xml:space="preserve"> </w:t>
      </w:r>
      <w:r w:rsidRPr="008C77F6">
        <w:rPr>
          <w:rStyle w:val="marcapalavra"/>
          <w:b/>
          <w:sz w:val="22"/>
          <w:szCs w:val="22"/>
          <w:u w:val="single"/>
        </w:rPr>
        <w:t>alimentar</w:t>
      </w:r>
      <w:r w:rsidRPr="008C77F6">
        <w:rPr>
          <w:rStyle w:val="hidden"/>
          <w:sz w:val="22"/>
          <w:szCs w:val="22"/>
        </w:rPr>
        <w:t xml:space="preserve">. Assim, não lhes é oponível a exceção de impenhorabilidade fundada no artigo 833, IV, do CPC, conforme excepcionado pelo seu próprio § 2º, que mantém invulneráveis à proteção da impenhorabilidade as verbas alimentícias. Precedentes. Também o agravado recebeu quantias decorrentes de empréstimo e de outros depósitos em dinheiro, equivalentes ao </w:t>
      </w:r>
      <w:proofErr w:type="gramStart"/>
      <w:r w:rsidRPr="008C77F6">
        <w:rPr>
          <w:rStyle w:val="hidden"/>
          <w:sz w:val="22"/>
          <w:szCs w:val="22"/>
        </w:rPr>
        <w:t>montante</w:t>
      </w:r>
      <w:proofErr w:type="gramEnd"/>
      <w:r w:rsidRPr="008C77F6">
        <w:rPr>
          <w:rStyle w:val="hidden"/>
          <w:sz w:val="22"/>
          <w:szCs w:val="22"/>
        </w:rPr>
        <w:t xml:space="preserve"> </w:t>
      </w:r>
      <w:proofErr w:type="gramStart"/>
      <w:r w:rsidRPr="008C77F6">
        <w:rPr>
          <w:rStyle w:val="hidden"/>
          <w:sz w:val="22"/>
          <w:szCs w:val="22"/>
        </w:rPr>
        <w:t>constrito</w:t>
      </w:r>
      <w:proofErr w:type="gramEnd"/>
      <w:r w:rsidRPr="008C77F6">
        <w:rPr>
          <w:rStyle w:val="hidden"/>
          <w:sz w:val="22"/>
          <w:szCs w:val="22"/>
        </w:rPr>
        <w:t xml:space="preserve">, o que igualmente afasta a alegação de impenhorabilidade. AGRAVO DE INSTRUMENTO PROVIDO. (Agravo de Instrumento Nº 70070650700, Décima Nona Câmara Cível, Tribunal de Justiça do RS, Relator: </w:t>
      </w:r>
      <w:proofErr w:type="spellStart"/>
      <w:r w:rsidRPr="008C77F6">
        <w:rPr>
          <w:rStyle w:val="hidden"/>
          <w:sz w:val="22"/>
          <w:szCs w:val="22"/>
        </w:rPr>
        <w:t>Mylene</w:t>
      </w:r>
      <w:proofErr w:type="spellEnd"/>
      <w:r w:rsidRPr="008C77F6">
        <w:rPr>
          <w:rStyle w:val="hidden"/>
          <w:sz w:val="22"/>
          <w:szCs w:val="22"/>
        </w:rPr>
        <w:t xml:space="preserve"> Maria Michel, Julgado em </w:t>
      </w:r>
      <w:r w:rsidRPr="008C77F6">
        <w:rPr>
          <w:rStyle w:val="hidden"/>
          <w:b/>
          <w:sz w:val="22"/>
          <w:szCs w:val="22"/>
        </w:rPr>
        <w:t>08/06/2017</w:t>
      </w:r>
      <w:r w:rsidRPr="008C77F6">
        <w:rPr>
          <w:rStyle w:val="hidden"/>
          <w:sz w:val="22"/>
          <w:szCs w:val="22"/>
        </w:rPr>
        <w:t>)</w:t>
      </w:r>
      <w:r w:rsidR="00771300" w:rsidRPr="008C77F6">
        <w:rPr>
          <w:rStyle w:val="hidden"/>
          <w:sz w:val="22"/>
          <w:szCs w:val="22"/>
        </w:rPr>
        <w:t>.</w:t>
      </w:r>
      <w:r w:rsidR="000B0EC5" w:rsidRPr="008C77F6">
        <w:rPr>
          <w:rStyle w:val="hidden"/>
          <w:sz w:val="22"/>
          <w:szCs w:val="22"/>
        </w:rPr>
        <w:t xml:space="preserve"> </w:t>
      </w:r>
      <w:r w:rsidR="000E1DB8">
        <w:rPr>
          <w:rStyle w:val="hidden"/>
          <w:sz w:val="22"/>
          <w:szCs w:val="22"/>
        </w:rPr>
        <w:t>(Sem grifos no original).</w:t>
      </w:r>
    </w:p>
    <w:p w:rsidR="00F1407A" w:rsidRPr="008C77F6" w:rsidRDefault="00F1407A" w:rsidP="00F1407A">
      <w:pPr>
        <w:jc w:val="both"/>
        <w:rPr>
          <w:rStyle w:val="firstementa"/>
          <w:sz w:val="22"/>
          <w:szCs w:val="22"/>
        </w:rPr>
      </w:pPr>
    </w:p>
    <w:p w:rsidR="003049BC" w:rsidRPr="008C77F6" w:rsidRDefault="00F1407A" w:rsidP="00771300">
      <w:pPr>
        <w:ind w:left="1701"/>
        <w:jc w:val="both"/>
        <w:rPr>
          <w:rStyle w:val="hidden"/>
        </w:rPr>
      </w:pPr>
      <w:r w:rsidRPr="008C77F6">
        <w:rPr>
          <w:rStyle w:val="firstementa"/>
          <w:sz w:val="22"/>
          <w:szCs w:val="22"/>
        </w:rPr>
        <w:t xml:space="preserve">AGRAVO DE INSTRUMENTO. AÇÃO DE COBRANÇA DE </w:t>
      </w:r>
      <w:r w:rsidRPr="008C77F6">
        <w:rPr>
          <w:rStyle w:val="marcapalavra"/>
          <w:sz w:val="22"/>
          <w:szCs w:val="22"/>
        </w:rPr>
        <w:t>HONORÁRIOS</w:t>
      </w:r>
      <w:r w:rsidRPr="008C77F6">
        <w:rPr>
          <w:rStyle w:val="firstementa"/>
          <w:sz w:val="22"/>
          <w:szCs w:val="22"/>
        </w:rPr>
        <w:t xml:space="preserve"> ADVOCATÍCIOS </w:t>
      </w:r>
      <w:r w:rsidRPr="008C77F6">
        <w:rPr>
          <w:rStyle w:val="marcapalavra"/>
          <w:sz w:val="22"/>
          <w:szCs w:val="22"/>
        </w:rPr>
        <w:t>CONTRATUAIS</w:t>
      </w:r>
      <w:r w:rsidRPr="008C77F6">
        <w:rPr>
          <w:rStyle w:val="firstementa"/>
          <w:sz w:val="22"/>
          <w:szCs w:val="22"/>
        </w:rPr>
        <w:t xml:space="preserve">. FASE DE CUMPRIMENTO DE SENTENÇA. </w:t>
      </w:r>
      <w:r w:rsidRPr="008C77F6">
        <w:rPr>
          <w:rStyle w:val="marcapalavra"/>
          <w:b/>
          <w:sz w:val="22"/>
          <w:szCs w:val="22"/>
          <w:u w:val="single"/>
        </w:rPr>
        <w:t>NATUREZA</w:t>
      </w:r>
      <w:r w:rsidRPr="008C77F6">
        <w:rPr>
          <w:rStyle w:val="firstementa"/>
          <w:b/>
          <w:sz w:val="22"/>
          <w:szCs w:val="22"/>
          <w:u w:val="single"/>
        </w:rPr>
        <w:t xml:space="preserve"> </w:t>
      </w:r>
      <w:r w:rsidRPr="008C77F6">
        <w:rPr>
          <w:rStyle w:val="marcapalavra"/>
          <w:b/>
          <w:sz w:val="22"/>
          <w:szCs w:val="22"/>
          <w:u w:val="single"/>
        </w:rPr>
        <w:t>ALIMENTAR</w:t>
      </w:r>
      <w:r w:rsidRPr="008C77F6">
        <w:rPr>
          <w:rStyle w:val="firstementa"/>
          <w:b/>
          <w:sz w:val="22"/>
          <w:szCs w:val="22"/>
          <w:u w:val="single"/>
        </w:rPr>
        <w:t xml:space="preserve"> DO CRÉDITO EXEQÜENDO</w:t>
      </w:r>
      <w:r w:rsidRPr="008C77F6">
        <w:rPr>
          <w:rStyle w:val="firstementa"/>
          <w:sz w:val="22"/>
          <w:szCs w:val="22"/>
        </w:rPr>
        <w:t>. PENHORA DE PERCENTUAL DO SALÁRIO DO DEVEDOR, ANTE A INEXISTÊNCIA DE PATRIMÔNIO PARA A SATISFAÇÃO DO DÉBITO EXEQÜENDO.</w:t>
      </w:r>
      <w:r w:rsidRPr="008C77F6">
        <w:rPr>
          <w:sz w:val="22"/>
          <w:szCs w:val="22"/>
        </w:rPr>
        <w:t xml:space="preserve"> </w:t>
      </w:r>
      <w:r w:rsidRPr="008C77F6">
        <w:rPr>
          <w:rStyle w:val="hidden"/>
          <w:sz w:val="22"/>
          <w:szCs w:val="22"/>
        </w:rPr>
        <w:t xml:space="preserve">POSSIBILIDADE. RECURSO PROVIDO, EM PARTE. (Agravo de Instrumento Nº 70073593709, Décima Sexta Câmara Cível, Tribunal de </w:t>
      </w:r>
      <w:r w:rsidRPr="008C77F6">
        <w:rPr>
          <w:rStyle w:val="hidden"/>
          <w:sz w:val="22"/>
          <w:szCs w:val="22"/>
        </w:rPr>
        <w:lastRenderedPageBreak/>
        <w:t xml:space="preserve">Justiça do RS, Relator: Ana Maria </w:t>
      </w:r>
      <w:proofErr w:type="spellStart"/>
      <w:r w:rsidRPr="008C77F6">
        <w:rPr>
          <w:rStyle w:val="hidden"/>
          <w:sz w:val="22"/>
          <w:szCs w:val="22"/>
        </w:rPr>
        <w:t>Nedel</w:t>
      </w:r>
      <w:proofErr w:type="spellEnd"/>
      <w:r w:rsidRPr="008C77F6">
        <w:rPr>
          <w:rStyle w:val="hidden"/>
          <w:sz w:val="22"/>
          <w:szCs w:val="22"/>
        </w:rPr>
        <w:t xml:space="preserve"> </w:t>
      </w:r>
      <w:proofErr w:type="spellStart"/>
      <w:r w:rsidRPr="008C77F6">
        <w:rPr>
          <w:rStyle w:val="hidden"/>
          <w:sz w:val="22"/>
          <w:szCs w:val="22"/>
        </w:rPr>
        <w:t>Scalzilli</w:t>
      </w:r>
      <w:proofErr w:type="spellEnd"/>
      <w:r w:rsidRPr="008C77F6">
        <w:rPr>
          <w:rStyle w:val="hidden"/>
          <w:sz w:val="22"/>
          <w:szCs w:val="22"/>
        </w:rPr>
        <w:t xml:space="preserve">, Julgado em </w:t>
      </w:r>
      <w:r w:rsidRPr="008C77F6">
        <w:rPr>
          <w:rStyle w:val="hidden"/>
          <w:b/>
          <w:sz w:val="22"/>
          <w:szCs w:val="22"/>
        </w:rPr>
        <w:t>03/08/2017</w:t>
      </w:r>
      <w:r w:rsidRPr="008C77F6">
        <w:rPr>
          <w:rStyle w:val="hidden"/>
          <w:sz w:val="22"/>
          <w:szCs w:val="22"/>
        </w:rPr>
        <w:t>).</w:t>
      </w:r>
      <w:r w:rsidR="000E1DB8">
        <w:rPr>
          <w:rStyle w:val="hidden"/>
          <w:sz w:val="22"/>
          <w:szCs w:val="22"/>
        </w:rPr>
        <w:t xml:space="preserve"> (Sem grifos no original).</w:t>
      </w:r>
    </w:p>
    <w:p w:rsidR="00A12388" w:rsidRDefault="00A12388" w:rsidP="00771300">
      <w:pPr>
        <w:ind w:left="1701"/>
        <w:jc w:val="both"/>
        <w:rPr>
          <w:rStyle w:val="hidden"/>
        </w:rPr>
      </w:pPr>
    </w:p>
    <w:p w:rsidR="00AD4F84" w:rsidRDefault="00AD4F84" w:rsidP="00771300">
      <w:pPr>
        <w:ind w:left="1701"/>
        <w:jc w:val="both"/>
        <w:rPr>
          <w:rStyle w:val="hidden"/>
        </w:rPr>
      </w:pPr>
    </w:p>
    <w:p w:rsidR="00AD4F84" w:rsidRDefault="00AD4F84" w:rsidP="00771300">
      <w:pPr>
        <w:ind w:left="1701"/>
        <w:jc w:val="both"/>
        <w:rPr>
          <w:rStyle w:val="hidden"/>
        </w:rPr>
      </w:pPr>
    </w:p>
    <w:p w:rsidR="00771300" w:rsidRPr="008C77F6" w:rsidRDefault="00771300" w:rsidP="00771300">
      <w:pPr>
        <w:ind w:left="1701"/>
        <w:jc w:val="both"/>
        <w:rPr>
          <w:rStyle w:val="hidden"/>
        </w:rPr>
      </w:pPr>
      <w:r w:rsidRPr="008C77F6">
        <w:rPr>
          <w:rStyle w:val="hidden"/>
        </w:rPr>
        <w:t>Ainda:</w:t>
      </w:r>
    </w:p>
    <w:p w:rsidR="00771300" w:rsidRPr="008C77F6" w:rsidRDefault="00771300" w:rsidP="004B5D4D">
      <w:pPr>
        <w:spacing w:line="360" w:lineRule="auto"/>
        <w:ind w:left="1701"/>
        <w:jc w:val="both"/>
        <w:rPr>
          <w:rStyle w:val="hidden"/>
        </w:rPr>
      </w:pPr>
    </w:p>
    <w:p w:rsidR="002571AD" w:rsidRPr="008C77F6" w:rsidRDefault="002571AD" w:rsidP="001B7E03">
      <w:pPr>
        <w:ind w:left="1701"/>
        <w:jc w:val="both"/>
        <w:rPr>
          <w:b/>
          <w:sz w:val="22"/>
          <w:szCs w:val="22"/>
        </w:rPr>
      </w:pPr>
      <w:r w:rsidRPr="008C77F6">
        <w:rPr>
          <w:sz w:val="22"/>
          <w:szCs w:val="22"/>
        </w:rPr>
        <w:t>AGRAVO EM RECURSO ESPECIAL Nº 1.073.61</w:t>
      </w:r>
      <w:r w:rsidR="000B0EC5" w:rsidRPr="008C77F6">
        <w:rPr>
          <w:sz w:val="22"/>
          <w:szCs w:val="22"/>
        </w:rPr>
        <w:t>9 - MG (2017/0069564-8) RELATOR</w:t>
      </w:r>
      <w:r w:rsidRPr="008C77F6">
        <w:rPr>
          <w:sz w:val="22"/>
          <w:szCs w:val="22"/>
        </w:rPr>
        <w:t>: MINISTRO MAR</w:t>
      </w:r>
      <w:r w:rsidR="000B0EC5" w:rsidRPr="008C77F6">
        <w:rPr>
          <w:sz w:val="22"/>
          <w:szCs w:val="22"/>
        </w:rPr>
        <w:t xml:space="preserve">CO AURÉLIO BELLIZZE </w:t>
      </w:r>
      <w:proofErr w:type="gramStart"/>
      <w:r w:rsidR="000B0EC5" w:rsidRPr="008C77F6">
        <w:rPr>
          <w:sz w:val="22"/>
          <w:szCs w:val="22"/>
        </w:rPr>
        <w:t xml:space="preserve">AGRAVANTE </w:t>
      </w:r>
      <w:r w:rsidR="001B7E03" w:rsidRPr="008C77F6">
        <w:rPr>
          <w:sz w:val="22"/>
          <w:szCs w:val="22"/>
        </w:rPr>
        <w:t>:</w:t>
      </w:r>
      <w:proofErr w:type="gramEnd"/>
      <w:r w:rsidR="000B0EC5" w:rsidRPr="008C77F6">
        <w:rPr>
          <w:sz w:val="22"/>
          <w:szCs w:val="22"/>
        </w:rPr>
        <w:t xml:space="preserve"> </w:t>
      </w:r>
      <w:r w:rsidRPr="008C77F6">
        <w:rPr>
          <w:sz w:val="22"/>
          <w:szCs w:val="22"/>
        </w:rPr>
        <w:t>PAULO TARCISIO SILV</w:t>
      </w:r>
      <w:r w:rsidR="000B0EC5" w:rsidRPr="008C77F6">
        <w:rPr>
          <w:sz w:val="22"/>
          <w:szCs w:val="22"/>
        </w:rPr>
        <w:t xml:space="preserve">A ADVOGADO </w:t>
      </w:r>
      <w:r w:rsidRPr="008C77F6">
        <w:rPr>
          <w:sz w:val="22"/>
          <w:szCs w:val="22"/>
        </w:rPr>
        <w:t xml:space="preserve">: ANDRÉ CAMPOS DE FIGUEIREDO SILVA </w:t>
      </w:r>
      <w:r w:rsidR="000B0EC5" w:rsidRPr="008C77F6">
        <w:rPr>
          <w:sz w:val="22"/>
          <w:szCs w:val="22"/>
        </w:rPr>
        <w:t xml:space="preserve">E OUTRO (S) - MG063580 AGRAVADO </w:t>
      </w:r>
      <w:r w:rsidRPr="008C77F6">
        <w:rPr>
          <w:sz w:val="22"/>
          <w:szCs w:val="22"/>
        </w:rPr>
        <w:t>: FRE</w:t>
      </w:r>
      <w:r w:rsidR="000B0EC5" w:rsidRPr="008C77F6">
        <w:rPr>
          <w:sz w:val="22"/>
          <w:szCs w:val="22"/>
        </w:rPr>
        <w:t xml:space="preserve">DERICO OSANAM BAMBIRRA ADVOGADO </w:t>
      </w:r>
      <w:r w:rsidRPr="008C77F6">
        <w:rPr>
          <w:sz w:val="22"/>
          <w:szCs w:val="22"/>
        </w:rPr>
        <w:t>: FREDERICO OSANAM BAMBIRRA (EM CAUSA PRÓPRIA) - MG023037 AGRAVO EM RECURSO ESPECIAL. AGRAVO DE INSTRUMENTO. 1. IMPENHORABILIDADE DO SALÁRIO DO RECORRENTE AFASTADA. HONORÁRIOS DE SUCUMBÊNCIA. CARÁTER ALIMENTAR. CONSTRIÇÃO NO PERCENTUAL DE 30%. POSSIBILIDADE. 2. AGRAVO CONHECIDO PARA DAR PARCIAL PROVIMENTO AO RECURSO ESPECIAL. DECISÃO</w:t>
      </w:r>
      <w:r w:rsidR="001B7E03" w:rsidRPr="008C77F6">
        <w:rPr>
          <w:sz w:val="22"/>
          <w:szCs w:val="22"/>
        </w:rPr>
        <w:t>...</w:t>
      </w:r>
      <w:r w:rsidR="000B0EC5" w:rsidRPr="008C77F6">
        <w:rPr>
          <w:sz w:val="22"/>
          <w:szCs w:val="22"/>
        </w:rPr>
        <w:t xml:space="preserve"> </w:t>
      </w:r>
      <w:r w:rsidRPr="008C77F6">
        <w:rPr>
          <w:b/>
          <w:sz w:val="22"/>
          <w:szCs w:val="22"/>
          <w:u w:val="single"/>
        </w:rPr>
        <w:t>Os honorários advocatícios, contratuais ou sucumbenciais têm natureza alimentícia, sendo, assim, possível a penhora de 30% da verba salarial para seu pagamento. Incidência à hipótese da Súmula nº 83 do STJ</w:t>
      </w:r>
      <w:r w:rsidRPr="008C77F6">
        <w:rPr>
          <w:sz w:val="22"/>
          <w:szCs w:val="22"/>
        </w:rPr>
        <w:t>. 3. Agravo regimental não provido. (</w:t>
      </w:r>
      <w:proofErr w:type="spellStart"/>
      <w:proofErr w:type="gramStart"/>
      <w:r w:rsidRPr="008C77F6">
        <w:rPr>
          <w:sz w:val="22"/>
          <w:szCs w:val="22"/>
        </w:rPr>
        <w:t>AgRg</w:t>
      </w:r>
      <w:proofErr w:type="spellEnd"/>
      <w:proofErr w:type="gramEnd"/>
      <w:r w:rsidRPr="008C77F6">
        <w:rPr>
          <w:sz w:val="22"/>
          <w:szCs w:val="22"/>
        </w:rPr>
        <w:t xml:space="preserve"> no </w:t>
      </w:r>
      <w:proofErr w:type="spellStart"/>
      <w:r w:rsidRPr="008C77F6">
        <w:rPr>
          <w:sz w:val="22"/>
          <w:szCs w:val="22"/>
        </w:rPr>
        <w:t>AREsp</w:t>
      </w:r>
      <w:proofErr w:type="spellEnd"/>
      <w:r w:rsidRPr="008C77F6">
        <w:rPr>
          <w:sz w:val="22"/>
          <w:szCs w:val="22"/>
        </w:rPr>
        <w:t xml:space="preserve"> 634.032/MG, Rel. Ministro MOURA RIBEIRO, TERCEIRA TURMA, julgado em 20/08/2015, </w:t>
      </w:r>
      <w:proofErr w:type="spellStart"/>
      <w:r w:rsidRPr="008C77F6">
        <w:rPr>
          <w:sz w:val="22"/>
          <w:szCs w:val="22"/>
        </w:rPr>
        <w:t>DJe</w:t>
      </w:r>
      <w:proofErr w:type="spellEnd"/>
      <w:r w:rsidRPr="008C77F6">
        <w:rPr>
          <w:sz w:val="22"/>
          <w:szCs w:val="22"/>
        </w:rPr>
        <w:t xml:space="preserve"> 31/08/2015) PROCESSUAL CIVIL. AGRAVO REGIMENTAL NO AGRAVO EM RECURSO ESPECIAL. HONORÁRIOS ADVOCATÍCIOS. NATUREZA ALIMENTAR. POSSIBILIDADE DE PENHORA DA REMUNERAÇÃO DO DEVEDOR. DISSÍDIO JURISPRUDENCIAL. COTEJO ANALÍTICO E SIMILITUDE FÁTICA. AUSÊNCIA. DECISÃO MANTIDA. 1. O caráter absoluto da impenhorabilidade dos vencimentos, soldos, proventos e demais verbas destinadas à remuneração do trabalho é excepcionado pelo art. 649, § 2º, do CPC quando se tratar de penhora para pagamento de prestações alimentícias. 2. Os honorários advocatícios possuem natureza alimentar, motivo pelo qual é possível a penhora de verbas remuneratórias para seu pagamento. Precedente. 3. O dissídio jurisprudencial deve ser comprovado mediante o cotejo analítico entre acórdãos que versem sobre situações fáticas </w:t>
      </w:r>
      <w:proofErr w:type="gramStart"/>
      <w:r w:rsidRPr="008C77F6">
        <w:rPr>
          <w:sz w:val="22"/>
          <w:szCs w:val="22"/>
        </w:rPr>
        <w:t>idênticas.</w:t>
      </w:r>
      <w:r w:rsidR="001B7E03" w:rsidRPr="008C77F6">
        <w:rPr>
          <w:sz w:val="22"/>
          <w:szCs w:val="22"/>
        </w:rPr>
        <w:t>..</w:t>
      </w:r>
      <w:proofErr w:type="gramEnd"/>
      <w:r w:rsidRPr="008C77F6">
        <w:rPr>
          <w:sz w:val="22"/>
          <w:szCs w:val="22"/>
        </w:rPr>
        <w:t>Publique-se. Brasília (DF), 19 de abril de 2017. MINISTRO MARCO AURÉLIO BELLIZZE, Relator</w:t>
      </w:r>
      <w:r w:rsidR="001B7E03" w:rsidRPr="008C77F6">
        <w:rPr>
          <w:sz w:val="22"/>
          <w:szCs w:val="22"/>
        </w:rPr>
        <w:t xml:space="preserve">. </w:t>
      </w:r>
      <w:r w:rsidRPr="008C77F6">
        <w:rPr>
          <w:b/>
          <w:sz w:val="22"/>
          <w:szCs w:val="22"/>
        </w:rPr>
        <w:t xml:space="preserve">(STJ - </w:t>
      </w:r>
      <w:proofErr w:type="spellStart"/>
      <w:proofErr w:type="gramStart"/>
      <w:r w:rsidRPr="008C77F6">
        <w:rPr>
          <w:b/>
          <w:sz w:val="22"/>
          <w:szCs w:val="22"/>
        </w:rPr>
        <w:t>AREsp</w:t>
      </w:r>
      <w:proofErr w:type="spellEnd"/>
      <w:proofErr w:type="gramEnd"/>
      <w:r w:rsidRPr="008C77F6">
        <w:rPr>
          <w:b/>
          <w:sz w:val="22"/>
          <w:szCs w:val="22"/>
        </w:rPr>
        <w:t>: 1073619 MG 2017/0069564-8, Relator: Ministro MARCO AURÉLIO BELLIZZE, Data de Publicação: DJ 09/05/2017)</w:t>
      </w:r>
      <w:r w:rsidR="001B7E03" w:rsidRPr="008C77F6">
        <w:rPr>
          <w:b/>
          <w:sz w:val="22"/>
          <w:szCs w:val="22"/>
        </w:rPr>
        <w:t xml:space="preserve">. </w:t>
      </w:r>
      <w:r w:rsidR="00EE1E78">
        <w:rPr>
          <w:rStyle w:val="hidden"/>
          <w:sz w:val="22"/>
          <w:szCs w:val="22"/>
        </w:rPr>
        <w:t>(Sem grifos no original).</w:t>
      </w:r>
    </w:p>
    <w:p w:rsidR="001B7E03" w:rsidRPr="008C77F6" w:rsidRDefault="001B7E03" w:rsidP="004B5D4D">
      <w:pPr>
        <w:spacing w:line="360" w:lineRule="auto"/>
        <w:ind w:left="1701"/>
        <w:jc w:val="both"/>
        <w:rPr>
          <w:b/>
        </w:rPr>
      </w:pPr>
    </w:p>
    <w:p w:rsidR="001B7E03" w:rsidRPr="008C77F6" w:rsidRDefault="001B7E03" w:rsidP="00C51532">
      <w:pPr>
        <w:spacing w:line="360" w:lineRule="auto"/>
        <w:ind w:firstLine="1701"/>
        <w:jc w:val="both"/>
        <w:rPr>
          <w:szCs w:val="24"/>
        </w:rPr>
      </w:pPr>
      <w:r w:rsidRPr="008C77F6">
        <w:rPr>
          <w:b/>
          <w:szCs w:val="24"/>
        </w:rPr>
        <w:t>3</w:t>
      </w:r>
      <w:r w:rsidRPr="008C77F6">
        <w:rPr>
          <w:szCs w:val="24"/>
        </w:rPr>
        <w:t xml:space="preserve"> </w:t>
      </w:r>
      <w:r w:rsidR="000B0EC5" w:rsidRPr="008C77F6">
        <w:rPr>
          <w:szCs w:val="24"/>
        </w:rPr>
        <w:t>-</w:t>
      </w:r>
      <w:r w:rsidRPr="008C77F6">
        <w:rPr>
          <w:szCs w:val="24"/>
        </w:rPr>
        <w:t xml:space="preserve"> </w:t>
      </w:r>
      <w:r w:rsidR="000B0EC5" w:rsidRPr="008C77F6">
        <w:rPr>
          <w:szCs w:val="24"/>
        </w:rPr>
        <w:t>A Lei nº</w:t>
      </w:r>
      <w:r w:rsidR="00AE1926" w:rsidRPr="008C77F6">
        <w:rPr>
          <w:szCs w:val="24"/>
        </w:rPr>
        <w:t xml:space="preserve"> 15.016/2017</w:t>
      </w:r>
      <w:r w:rsidR="000B0EC5" w:rsidRPr="008C77F6">
        <w:rPr>
          <w:szCs w:val="24"/>
        </w:rPr>
        <w:t>,</w:t>
      </w:r>
      <w:r w:rsidR="00AE1926" w:rsidRPr="008C77F6">
        <w:rPr>
          <w:szCs w:val="24"/>
        </w:rPr>
        <w:t xml:space="preserve"> de 13 de </w:t>
      </w:r>
      <w:r w:rsidR="000B0EC5" w:rsidRPr="008C77F6">
        <w:rPr>
          <w:szCs w:val="24"/>
        </w:rPr>
        <w:t>j</w:t>
      </w:r>
      <w:r w:rsidR="00EE1E78">
        <w:rPr>
          <w:szCs w:val="24"/>
        </w:rPr>
        <w:t>ulho de 2017, (originári</w:t>
      </w:r>
      <w:r w:rsidR="00F05363">
        <w:rPr>
          <w:szCs w:val="24"/>
        </w:rPr>
        <w:t>a</w:t>
      </w:r>
      <w:r w:rsidR="00EE1E78">
        <w:rPr>
          <w:szCs w:val="24"/>
        </w:rPr>
        <w:t xml:space="preserve"> do </w:t>
      </w:r>
      <w:r w:rsidR="00EE1E78" w:rsidRPr="008C77F6">
        <w:rPr>
          <w:rFonts w:cs="Arial"/>
          <w:szCs w:val="24"/>
        </w:rPr>
        <w:t>Projeto de Lei nº 97/2016</w:t>
      </w:r>
      <w:r w:rsidR="00EE1E78">
        <w:rPr>
          <w:rFonts w:cs="Arial"/>
          <w:szCs w:val="24"/>
        </w:rPr>
        <w:t xml:space="preserve">) </w:t>
      </w:r>
      <w:r w:rsidR="00AE1926" w:rsidRPr="008C77F6">
        <w:rPr>
          <w:szCs w:val="24"/>
        </w:rPr>
        <w:t>prescreve</w:t>
      </w:r>
      <w:r w:rsidR="000B0EC5" w:rsidRPr="008C77F6">
        <w:rPr>
          <w:szCs w:val="24"/>
        </w:rPr>
        <w:t>,</w:t>
      </w:r>
      <w:r w:rsidR="00AE1926" w:rsidRPr="008C77F6">
        <w:rPr>
          <w:szCs w:val="24"/>
        </w:rPr>
        <w:t xml:space="preserve"> em seu artigo </w:t>
      </w:r>
      <w:r w:rsidR="00C51532" w:rsidRPr="008C77F6">
        <w:rPr>
          <w:szCs w:val="24"/>
        </w:rPr>
        <w:t>6º</w:t>
      </w:r>
      <w:r w:rsidR="000B0EC5" w:rsidRPr="008C77F6">
        <w:rPr>
          <w:szCs w:val="24"/>
        </w:rPr>
        <w:t>,</w:t>
      </w:r>
      <w:r w:rsidR="00C51532" w:rsidRPr="008C77F6">
        <w:rPr>
          <w:szCs w:val="24"/>
        </w:rPr>
        <w:t xml:space="preserve"> que estão isentos do pagamento da Taxa Única de Serviços Judiciais os processos de alimentos e de execução de alimentos, </w:t>
      </w:r>
      <w:r w:rsidR="00F1407F" w:rsidRPr="008C77F6">
        <w:rPr>
          <w:i/>
          <w:szCs w:val="24"/>
        </w:rPr>
        <w:t xml:space="preserve">“in </w:t>
      </w:r>
      <w:proofErr w:type="spellStart"/>
      <w:r w:rsidR="00F1407F" w:rsidRPr="008C77F6">
        <w:rPr>
          <w:i/>
          <w:szCs w:val="24"/>
        </w:rPr>
        <w:t>verbis</w:t>
      </w:r>
      <w:proofErr w:type="spellEnd"/>
      <w:r w:rsidR="00F1407F" w:rsidRPr="008C77F6">
        <w:rPr>
          <w:i/>
          <w:szCs w:val="24"/>
        </w:rPr>
        <w:t>”:</w:t>
      </w:r>
    </w:p>
    <w:p w:rsidR="00AE1926" w:rsidRPr="008C77F6" w:rsidRDefault="00AE1926" w:rsidP="004B5D4D">
      <w:pPr>
        <w:pStyle w:val="Default"/>
        <w:spacing w:line="360" w:lineRule="auto"/>
        <w:rPr>
          <w:color w:val="auto"/>
        </w:rPr>
      </w:pPr>
    </w:p>
    <w:p w:rsidR="004B5D4D" w:rsidRPr="008C77F6" w:rsidRDefault="00AE1926" w:rsidP="00C51532">
      <w:pPr>
        <w:pStyle w:val="Default"/>
        <w:ind w:left="1701"/>
        <w:rPr>
          <w:rFonts w:ascii="Arial" w:hAnsi="Arial" w:cs="Arial"/>
          <w:color w:val="auto"/>
          <w:sz w:val="22"/>
          <w:szCs w:val="22"/>
        </w:rPr>
      </w:pPr>
      <w:r w:rsidRPr="008C77F6">
        <w:rPr>
          <w:rFonts w:ascii="Arial" w:hAnsi="Arial" w:cs="Arial"/>
          <w:color w:val="auto"/>
          <w:sz w:val="22"/>
          <w:szCs w:val="22"/>
        </w:rPr>
        <w:t xml:space="preserve">Art. 6º </w:t>
      </w:r>
    </w:p>
    <w:p w:rsidR="00AE1926" w:rsidRPr="008C77F6" w:rsidRDefault="004B5D4D" w:rsidP="00C51532">
      <w:pPr>
        <w:pStyle w:val="Default"/>
        <w:ind w:left="1701"/>
        <w:rPr>
          <w:rFonts w:ascii="Arial" w:hAnsi="Arial" w:cs="Arial"/>
          <w:color w:val="auto"/>
          <w:sz w:val="22"/>
          <w:szCs w:val="22"/>
        </w:rPr>
      </w:pPr>
      <w:r w:rsidRPr="008C77F6">
        <w:rPr>
          <w:rFonts w:ascii="Arial" w:hAnsi="Arial" w:cs="Arial"/>
          <w:color w:val="auto"/>
          <w:sz w:val="22"/>
          <w:szCs w:val="22"/>
        </w:rPr>
        <w:t>(...)</w:t>
      </w:r>
    </w:p>
    <w:p w:rsidR="002571AD" w:rsidRPr="008C77F6" w:rsidRDefault="00AE1926" w:rsidP="00C51532">
      <w:pPr>
        <w:ind w:left="1701"/>
        <w:jc w:val="both"/>
        <w:rPr>
          <w:rFonts w:cs="Arial"/>
          <w:sz w:val="22"/>
          <w:szCs w:val="22"/>
        </w:rPr>
      </w:pPr>
      <w:r w:rsidRPr="008C77F6">
        <w:rPr>
          <w:rFonts w:cs="Arial"/>
          <w:sz w:val="22"/>
          <w:szCs w:val="22"/>
        </w:rPr>
        <w:t xml:space="preserve">Parágrafo único. </w:t>
      </w:r>
      <w:r w:rsidRPr="008C77F6">
        <w:rPr>
          <w:rFonts w:cs="Arial"/>
          <w:b/>
          <w:sz w:val="22"/>
          <w:szCs w:val="22"/>
        </w:rPr>
        <w:t>Também estão isentos do pagamento da Taxa Única de Serviços Judiciais os processos de alimentos e de execução de alimentos</w:t>
      </w:r>
      <w:r w:rsidRPr="008C77F6">
        <w:rPr>
          <w:rFonts w:cs="Arial"/>
          <w:sz w:val="22"/>
          <w:szCs w:val="22"/>
        </w:rPr>
        <w:t xml:space="preserve"> (fase de cumprimento de sentença que reconheça a exigibilidade </w:t>
      </w:r>
      <w:r w:rsidRPr="008C77F6">
        <w:rPr>
          <w:rFonts w:cs="Arial"/>
          <w:sz w:val="22"/>
          <w:szCs w:val="22"/>
        </w:rPr>
        <w:lastRenderedPageBreak/>
        <w:t>de prestar alimentos, inclusive os alimentos provisórios ou provisionais fixados por tutela de evidência, tut</w:t>
      </w:r>
      <w:r w:rsidR="004B5D4D" w:rsidRPr="008C77F6">
        <w:rPr>
          <w:rFonts w:cs="Arial"/>
          <w:sz w:val="22"/>
          <w:szCs w:val="22"/>
        </w:rPr>
        <w:t>ela de urgência e/ou cautelar).</w:t>
      </w:r>
      <w:r w:rsidR="00C51532" w:rsidRPr="008C77F6">
        <w:rPr>
          <w:rFonts w:cs="Arial"/>
          <w:sz w:val="22"/>
          <w:szCs w:val="22"/>
        </w:rPr>
        <w:t xml:space="preserve"> Grif</w:t>
      </w:r>
      <w:r w:rsidR="004B5D4D" w:rsidRPr="008C77F6">
        <w:rPr>
          <w:rFonts w:cs="Arial"/>
          <w:sz w:val="22"/>
          <w:szCs w:val="22"/>
        </w:rPr>
        <w:t>o nosso</w:t>
      </w:r>
      <w:r w:rsidR="00C51532" w:rsidRPr="008C77F6">
        <w:rPr>
          <w:rFonts w:cs="Arial"/>
          <w:sz w:val="22"/>
          <w:szCs w:val="22"/>
        </w:rPr>
        <w:t>.</w:t>
      </w:r>
    </w:p>
    <w:p w:rsidR="00C51532" w:rsidRPr="008C77F6" w:rsidRDefault="00C51532" w:rsidP="00C51532">
      <w:pPr>
        <w:ind w:left="1701"/>
        <w:jc w:val="both"/>
        <w:rPr>
          <w:rFonts w:cs="Arial"/>
          <w:sz w:val="22"/>
          <w:szCs w:val="22"/>
        </w:rPr>
      </w:pPr>
    </w:p>
    <w:p w:rsidR="00AD4F84" w:rsidRDefault="00AD4F84" w:rsidP="00C51532">
      <w:pPr>
        <w:jc w:val="both"/>
        <w:rPr>
          <w:rFonts w:cs="Arial"/>
          <w:sz w:val="22"/>
          <w:szCs w:val="22"/>
        </w:rPr>
      </w:pPr>
    </w:p>
    <w:p w:rsidR="00C51532" w:rsidRPr="00AD4F84" w:rsidRDefault="00C51532" w:rsidP="00AD4F84">
      <w:pPr>
        <w:jc w:val="right"/>
        <w:rPr>
          <w:rFonts w:cs="Arial"/>
          <w:sz w:val="22"/>
          <w:szCs w:val="22"/>
        </w:rPr>
      </w:pPr>
    </w:p>
    <w:p w:rsidR="00B32112" w:rsidRPr="008C77F6" w:rsidRDefault="00C51532" w:rsidP="00B32112">
      <w:pPr>
        <w:tabs>
          <w:tab w:val="left" w:pos="2835"/>
        </w:tabs>
        <w:spacing w:line="360" w:lineRule="auto"/>
        <w:ind w:firstLine="1701"/>
        <w:jc w:val="both"/>
        <w:rPr>
          <w:rFonts w:cs="Arial"/>
          <w:szCs w:val="24"/>
        </w:rPr>
      </w:pPr>
      <w:r w:rsidRPr="008C77F6">
        <w:rPr>
          <w:rFonts w:cs="Arial"/>
          <w:b/>
          <w:szCs w:val="24"/>
        </w:rPr>
        <w:t>4</w:t>
      </w:r>
      <w:r w:rsidR="004B5D4D" w:rsidRPr="008C77F6">
        <w:rPr>
          <w:rFonts w:cs="Arial"/>
          <w:szCs w:val="24"/>
        </w:rPr>
        <w:t xml:space="preserve"> -</w:t>
      </w:r>
      <w:r w:rsidRPr="008C77F6">
        <w:rPr>
          <w:rFonts w:cs="Arial"/>
          <w:szCs w:val="24"/>
        </w:rPr>
        <w:t xml:space="preserve"> Não obstante o teor da legislação acima referida, o Tribunal de Justiça do Estado do Rio Grande do Sul</w:t>
      </w:r>
      <w:r w:rsidR="004B5D4D" w:rsidRPr="008C77F6">
        <w:rPr>
          <w:rFonts w:cs="Arial"/>
          <w:szCs w:val="24"/>
        </w:rPr>
        <w:t>, por meio</w:t>
      </w:r>
      <w:r w:rsidRPr="008C77F6">
        <w:rPr>
          <w:rFonts w:cs="Arial"/>
          <w:szCs w:val="24"/>
        </w:rPr>
        <w:t xml:space="preserve"> </w:t>
      </w:r>
      <w:r w:rsidR="00474C2A" w:rsidRPr="008C77F6">
        <w:rPr>
          <w:rFonts w:cs="Arial"/>
          <w:szCs w:val="24"/>
        </w:rPr>
        <w:t>do Expediente nº 4973-14/000003-2 da Corregedoria-Geral da Justiça (cópia anexa), instado</w:t>
      </w:r>
      <w:r w:rsidR="00F1407F" w:rsidRPr="008C77F6">
        <w:rPr>
          <w:rFonts w:cs="Arial"/>
          <w:szCs w:val="24"/>
        </w:rPr>
        <w:t xml:space="preserve"> pela OAB/RS</w:t>
      </w:r>
      <w:r w:rsidR="00474C2A" w:rsidRPr="008C77F6">
        <w:rPr>
          <w:rFonts w:cs="Arial"/>
          <w:szCs w:val="24"/>
        </w:rPr>
        <w:t xml:space="preserve"> a se manifestar </w:t>
      </w:r>
      <w:r w:rsidR="00B32112" w:rsidRPr="008C77F6">
        <w:rPr>
          <w:rFonts w:cs="Arial"/>
          <w:szCs w:val="24"/>
        </w:rPr>
        <w:t>relativamente ao Projeto de Lei</w:t>
      </w:r>
      <w:r w:rsidR="004B5D4D" w:rsidRPr="008C77F6">
        <w:rPr>
          <w:rFonts w:cs="Arial"/>
          <w:szCs w:val="24"/>
        </w:rPr>
        <w:t xml:space="preserve"> nº</w:t>
      </w:r>
      <w:r w:rsidR="00B32112" w:rsidRPr="008C77F6">
        <w:rPr>
          <w:rFonts w:cs="Arial"/>
          <w:szCs w:val="24"/>
        </w:rPr>
        <w:t xml:space="preserve"> 97/2016</w:t>
      </w:r>
      <w:r w:rsidR="00EE1E78">
        <w:rPr>
          <w:rFonts w:cs="Arial"/>
          <w:szCs w:val="24"/>
        </w:rPr>
        <w:t xml:space="preserve"> e a aplicação aos honorários advocatícios da isenção por ele regulamentada</w:t>
      </w:r>
      <w:r w:rsidR="00B32112" w:rsidRPr="008C77F6">
        <w:rPr>
          <w:rFonts w:cs="Arial"/>
          <w:szCs w:val="24"/>
        </w:rPr>
        <w:t>, em apertada síntese</w:t>
      </w:r>
      <w:r w:rsidR="00EE1E78">
        <w:rPr>
          <w:rFonts w:cs="Arial"/>
          <w:szCs w:val="24"/>
        </w:rPr>
        <w:t>,</w:t>
      </w:r>
      <w:r w:rsidR="00B32112" w:rsidRPr="008C77F6">
        <w:rPr>
          <w:rFonts w:cs="Arial"/>
          <w:szCs w:val="24"/>
        </w:rPr>
        <w:t xml:space="preserve"> assim concluiu:</w:t>
      </w:r>
    </w:p>
    <w:p w:rsidR="00B32112" w:rsidRPr="008C77F6" w:rsidRDefault="00B32112" w:rsidP="00B32112">
      <w:pPr>
        <w:tabs>
          <w:tab w:val="left" w:pos="2835"/>
        </w:tabs>
        <w:spacing w:line="360" w:lineRule="auto"/>
        <w:ind w:firstLine="1701"/>
        <w:jc w:val="both"/>
        <w:rPr>
          <w:rFonts w:cs="Arial"/>
        </w:rPr>
      </w:pPr>
    </w:p>
    <w:p w:rsidR="00597DAD" w:rsidRPr="008C77F6" w:rsidRDefault="00597DAD" w:rsidP="00597DAD">
      <w:pPr>
        <w:tabs>
          <w:tab w:val="left" w:pos="2268"/>
        </w:tabs>
        <w:ind w:left="1701"/>
        <w:jc w:val="both"/>
        <w:rPr>
          <w:rFonts w:cs="Arial"/>
          <w:b/>
          <w:sz w:val="22"/>
          <w:szCs w:val="22"/>
        </w:rPr>
      </w:pPr>
      <w:r w:rsidRPr="008C77F6">
        <w:rPr>
          <w:rFonts w:cs="Arial"/>
          <w:sz w:val="22"/>
          <w:szCs w:val="22"/>
        </w:rPr>
        <w:t xml:space="preserve">3. PONTOS EM QUE NÃO HÁ NECESSIDADE DE ALTERAÇÃO: </w:t>
      </w:r>
      <w:proofErr w:type="gramStart"/>
      <w:r w:rsidRPr="008C77F6">
        <w:rPr>
          <w:rFonts w:cs="Arial"/>
          <w:sz w:val="22"/>
          <w:szCs w:val="22"/>
        </w:rPr>
        <w:t>3.1 - Proposta da OAB - isenção</w:t>
      </w:r>
      <w:proofErr w:type="gramEnd"/>
      <w:r w:rsidRPr="008C77F6">
        <w:rPr>
          <w:rFonts w:cs="Arial"/>
          <w:sz w:val="22"/>
          <w:szCs w:val="22"/>
        </w:rPr>
        <w:t xml:space="preserve"> de custas em execução que versar exclusivamente sobre honorários advocatícios. Nesse tópico, desnecessário qualquer retificação ou acréscimo ao projeto de lei; o Novo Código de Processo Civil expressamente dispõe sobre a natureza alimentar dessa verba</w:t>
      </w:r>
      <w:r w:rsidR="00EE1E78">
        <w:rPr>
          <w:rFonts w:cs="Arial"/>
          <w:sz w:val="22"/>
          <w:szCs w:val="22"/>
        </w:rPr>
        <w:t xml:space="preserve"> </w:t>
      </w:r>
      <w:r w:rsidR="00EE1E78" w:rsidRPr="00EE1E78">
        <w:rPr>
          <w:rFonts w:cs="Arial"/>
          <w:sz w:val="22"/>
          <w:szCs w:val="22"/>
        </w:rPr>
        <w:t>(</w:t>
      </w:r>
      <w:r w:rsidRPr="00EE1E78">
        <w:rPr>
          <w:rFonts w:cs="Arial"/>
          <w:sz w:val="22"/>
          <w:szCs w:val="22"/>
        </w:rPr>
        <w:t>...</w:t>
      </w:r>
      <w:r w:rsidR="00EE1E78" w:rsidRPr="00EE1E78">
        <w:rPr>
          <w:rFonts w:cs="Arial"/>
          <w:sz w:val="22"/>
          <w:szCs w:val="22"/>
        </w:rPr>
        <w:t>)</w:t>
      </w:r>
      <w:r w:rsidR="00EE1E78">
        <w:rPr>
          <w:rFonts w:cs="Arial"/>
          <w:sz w:val="22"/>
          <w:szCs w:val="22"/>
        </w:rPr>
        <w:t xml:space="preserve">. </w:t>
      </w:r>
      <w:r w:rsidRPr="008C77F6">
        <w:rPr>
          <w:rFonts w:cs="Arial"/>
          <w:b/>
          <w:sz w:val="22"/>
          <w:szCs w:val="22"/>
          <w:u w:val="single"/>
        </w:rPr>
        <w:t>Como a lei processual atribuiu caráter alimentar à verba honorária, aplica-se, pois, o disposto no art. 6º, parágrafo ún</w:t>
      </w:r>
      <w:r w:rsidR="004B5D4D" w:rsidRPr="008C77F6">
        <w:rPr>
          <w:rFonts w:cs="Arial"/>
          <w:b/>
          <w:sz w:val="22"/>
          <w:szCs w:val="22"/>
          <w:u w:val="single"/>
        </w:rPr>
        <w:t>ico, do Projeto de Lei 97/16...</w:t>
      </w:r>
      <w:r w:rsidRPr="008C77F6">
        <w:rPr>
          <w:rFonts w:cs="Arial"/>
          <w:b/>
          <w:sz w:val="22"/>
          <w:szCs w:val="22"/>
        </w:rPr>
        <w:t xml:space="preserve"> </w:t>
      </w:r>
      <w:r w:rsidRPr="008C77F6">
        <w:rPr>
          <w:rFonts w:cs="Arial"/>
          <w:sz w:val="22"/>
          <w:szCs w:val="22"/>
        </w:rPr>
        <w:t>Grifos nossos.</w:t>
      </w:r>
    </w:p>
    <w:p w:rsidR="00B32112" w:rsidRPr="008C77F6" w:rsidRDefault="00B32112" w:rsidP="00597DAD">
      <w:pPr>
        <w:tabs>
          <w:tab w:val="left" w:pos="2835"/>
        </w:tabs>
        <w:spacing w:line="360" w:lineRule="auto"/>
        <w:ind w:firstLine="1701"/>
        <w:jc w:val="both"/>
        <w:rPr>
          <w:rFonts w:cs="Arial"/>
        </w:rPr>
      </w:pPr>
    </w:p>
    <w:p w:rsidR="00597DAD" w:rsidRDefault="00597DAD" w:rsidP="00597DAD">
      <w:pPr>
        <w:tabs>
          <w:tab w:val="left" w:pos="2835"/>
        </w:tabs>
        <w:spacing w:line="360" w:lineRule="auto"/>
        <w:ind w:firstLine="1701"/>
        <w:jc w:val="both"/>
        <w:rPr>
          <w:rFonts w:cs="Arial"/>
          <w:szCs w:val="24"/>
        </w:rPr>
      </w:pPr>
      <w:r w:rsidRPr="008C77F6">
        <w:rPr>
          <w:rFonts w:cs="Arial"/>
          <w:b/>
          <w:szCs w:val="24"/>
        </w:rPr>
        <w:t>5</w:t>
      </w:r>
      <w:r w:rsidR="004B5D4D" w:rsidRPr="008C77F6">
        <w:rPr>
          <w:rFonts w:cs="Arial"/>
          <w:szCs w:val="24"/>
        </w:rPr>
        <w:t xml:space="preserve"> </w:t>
      </w:r>
      <w:r w:rsidR="008A1E6E">
        <w:rPr>
          <w:rFonts w:cs="Arial"/>
          <w:szCs w:val="24"/>
        </w:rPr>
        <w:t>–</w:t>
      </w:r>
      <w:r w:rsidRPr="008C77F6">
        <w:rPr>
          <w:rFonts w:cs="Arial"/>
          <w:szCs w:val="24"/>
        </w:rPr>
        <w:t xml:space="preserve"> </w:t>
      </w:r>
      <w:r w:rsidR="008A1E6E">
        <w:rPr>
          <w:rFonts w:cs="Arial"/>
          <w:szCs w:val="24"/>
        </w:rPr>
        <w:t>Diante disso</w:t>
      </w:r>
      <w:r w:rsidRPr="008C77F6">
        <w:rPr>
          <w:rFonts w:cs="Arial"/>
          <w:szCs w:val="24"/>
        </w:rPr>
        <w:t xml:space="preserve">, considerando a inquestionável natureza alimentar dos honorários advocatícios, </w:t>
      </w:r>
      <w:proofErr w:type="gramStart"/>
      <w:r w:rsidRPr="008C77F6">
        <w:rPr>
          <w:rFonts w:cs="Arial"/>
          <w:szCs w:val="24"/>
        </w:rPr>
        <w:t>sejam</w:t>
      </w:r>
      <w:proofErr w:type="gramEnd"/>
      <w:r w:rsidRPr="008C77F6">
        <w:rPr>
          <w:rFonts w:cs="Arial"/>
          <w:szCs w:val="24"/>
        </w:rPr>
        <w:t xml:space="preserve"> eles sucumbenciais ou contratuais, bem como o teor das normas legais referidas, </w:t>
      </w:r>
      <w:r w:rsidR="008A1E6E">
        <w:rPr>
          <w:rFonts w:cs="Arial"/>
          <w:szCs w:val="24"/>
        </w:rPr>
        <w:t>imperioso concluir no sentido de que cabe a</w:t>
      </w:r>
      <w:r w:rsidRPr="008C77F6">
        <w:rPr>
          <w:rFonts w:cs="Arial"/>
          <w:szCs w:val="24"/>
        </w:rPr>
        <w:t xml:space="preserve"> isenção de custas</w:t>
      </w:r>
      <w:r w:rsidR="008A1E6E">
        <w:rPr>
          <w:rFonts w:cs="Arial"/>
          <w:szCs w:val="24"/>
        </w:rPr>
        <w:t xml:space="preserve"> processuais para os </w:t>
      </w:r>
      <w:r w:rsidR="003F0572">
        <w:rPr>
          <w:rFonts w:cs="Arial"/>
          <w:szCs w:val="24"/>
        </w:rPr>
        <w:t>feitos executivos</w:t>
      </w:r>
      <w:r w:rsidR="008A1E6E">
        <w:rPr>
          <w:rFonts w:cs="Arial"/>
          <w:szCs w:val="24"/>
        </w:rPr>
        <w:t xml:space="preserve"> que tratem exclusivamente de cobrança de honorários advocatícios.</w:t>
      </w:r>
    </w:p>
    <w:p w:rsidR="003F0572" w:rsidRDefault="003F0572" w:rsidP="00597DAD">
      <w:pPr>
        <w:tabs>
          <w:tab w:val="left" w:pos="2835"/>
        </w:tabs>
        <w:spacing w:line="360" w:lineRule="auto"/>
        <w:ind w:firstLine="1701"/>
        <w:jc w:val="both"/>
        <w:rPr>
          <w:rFonts w:cs="Arial"/>
          <w:szCs w:val="24"/>
        </w:rPr>
      </w:pPr>
    </w:p>
    <w:p w:rsidR="003F0572" w:rsidRDefault="003F0572" w:rsidP="00597DAD">
      <w:pPr>
        <w:tabs>
          <w:tab w:val="left" w:pos="2835"/>
        </w:tabs>
        <w:spacing w:line="360" w:lineRule="auto"/>
        <w:ind w:firstLine="1701"/>
        <w:jc w:val="both"/>
        <w:rPr>
          <w:rFonts w:cs="Arial"/>
          <w:szCs w:val="24"/>
        </w:rPr>
      </w:pPr>
      <w:r w:rsidRPr="003F0572">
        <w:rPr>
          <w:rFonts w:cs="Arial"/>
          <w:b/>
          <w:szCs w:val="24"/>
        </w:rPr>
        <w:t xml:space="preserve">6 </w:t>
      </w:r>
      <w:r>
        <w:rPr>
          <w:rFonts w:cs="Arial"/>
          <w:szCs w:val="24"/>
        </w:rPr>
        <w:t>– Assim, pugna-se pela aplicação do disposto no Parágrafo Único</w:t>
      </w:r>
      <w:r w:rsidR="00336DDE">
        <w:rPr>
          <w:rFonts w:cs="Arial"/>
          <w:szCs w:val="24"/>
        </w:rPr>
        <w:t xml:space="preserve">, do art. 6º, da </w:t>
      </w:r>
      <w:r w:rsidR="00336DDE" w:rsidRPr="008C77F6">
        <w:rPr>
          <w:szCs w:val="24"/>
        </w:rPr>
        <w:t>Lei nº 15.016/2017, de 13 de j</w:t>
      </w:r>
      <w:r w:rsidR="00336DDE">
        <w:rPr>
          <w:szCs w:val="24"/>
        </w:rPr>
        <w:t xml:space="preserve">ulho de 2017, (originária do </w:t>
      </w:r>
      <w:r w:rsidR="00336DDE" w:rsidRPr="008C77F6">
        <w:rPr>
          <w:rFonts w:cs="Arial"/>
          <w:szCs w:val="24"/>
        </w:rPr>
        <w:t>Projeto de Lei nº 97/2016</w:t>
      </w:r>
      <w:r w:rsidR="008F4B03">
        <w:rPr>
          <w:rFonts w:cs="Arial"/>
          <w:szCs w:val="24"/>
        </w:rPr>
        <w:t xml:space="preserve">), </w:t>
      </w:r>
      <w:r w:rsidR="00D01315">
        <w:rPr>
          <w:rFonts w:cs="Arial"/>
          <w:szCs w:val="24"/>
        </w:rPr>
        <w:t>ao presente feito de execução de honorários advocatícios, declarando-se a isenção ao pagamento de custas.</w:t>
      </w:r>
    </w:p>
    <w:p w:rsidR="008A1E6E" w:rsidRPr="008C77F6" w:rsidRDefault="008A1E6E" w:rsidP="00597DAD">
      <w:pPr>
        <w:tabs>
          <w:tab w:val="left" w:pos="2835"/>
        </w:tabs>
        <w:spacing w:line="360" w:lineRule="auto"/>
        <w:ind w:firstLine="1701"/>
        <w:jc w:val="both"/>
        <w:rPr>
          <w:rFonts w:cs="Arial"/>
          <w:szCs w:val="24"/>
        </w:rPr>
      </w:pPr>
    </w:p>
    <w:p w:rsidR="00F1407F" w:rsidRPr="00F1407F" w:rsidRDefault="00F1407F" w:rsidP="00597DAD">
      <w:pPr>
        <w:tabs>
          <w:tab w:val="left" w:pos="2835"/>
        </w:tabs>
        <w:spacing w:line="360" w:lineRule="auto"/>
        <w:ind w:firstLine="1701"/>
        <w:jc w:val="both"/>
        <w:rPr>
          <w:rFonts w:cs="Arial"/>
          <w:szCs w:val="24"/>
        </w:rPr>
      </w:pPr>
    </w:p>
    <w:p w:rsidR="00B32112" w:rsidRDefault="00B32112" w:rsidP="00474C2A">
      <w:pPr>
        <w:tabs>
          <w:tab w:val="left" w:pos="2835"/>
        </w:tabs>
        <w:spacing w:line="360" w:lineRule="auto"/>
        <w:jc w:val="both"/>
        <w:rPr>
          <w:rFonts w:cs="Arial"/>
        </w:rPr>
      </w:pPr>
    </w:p>
    <w:p w:rsidR="00B32112" w:rsidRDefault="00B32112" w:rsidP="00474C2A">
      <w:pPr>
        <w:tabs>
          <w:tab w:val="left" w:pos="2835"/>
        </w:tabs>
        <w:spacing w:line="360" w:lineRule="auto"/>
        <w:jc w:val="both"/>
        <w:rPr>
          <w:rFonts w:cs="Arial"/>
        </w:rPr>
      </w:pPr>
    </w:p>
    <w:p w:rsidR="00474C2A" w:rsidRPr="0091059B" w:rsidRDefault="00474C2A" w:rsidP="00474C2A">
      <w:pPr>
        <w:tabs>
          <w:tab w:val="left" w:pos="2835"/>
        </w:tabs>
        <w:spacing w:line="360" w:lineRule="auto"/>
        <w:jc w:val="both"/>
        <w:rPr>
          <w:rFonts w:cs="Arial"/>
        </w:rPr>
      </w:pPr>
      <w:r w:rsidRPr="0091059B">
        <w:rPr>
          <w:rFonts w:cs="Arial"/>
        </w:rPr>
        <w:t xml:space="preserve"> </w:t>
      </w:r>
    </w:p>
    <w:p w:rsidR="00C51532" w:rsidRPr="00C51532" w:rsidRDefault="00C51532" w:rsidP="00C51532">
      <w:pPr>
        <w:ind w:left="1701"/>
        <w:jc w:val="both"/>
        <w:rPr>
          <w:rFonts w:cs="Arial"/>
          <w:sz w:val="22"/>
          <w:szCs w:val="22"/>
        </w:rPr>
      </w:pPr>
    </w:p>
    <w:sectPr w:rsidR="00C51532" w:rsidRPr="00C51532" w:rsidSect="0035706B">
      <w:headerReference w:type="default" r:id="rId9"/>
      <w:footerReference w:type="default" r:id="rId10"/>
      <w:headerReference w:type="first" r:id="rId11"/>
      <w:pgSz w:w="11907" w:h="16839" w:code="9"/>
      <w:pgMar w:top="1417" w:right="850" w:bottom="1417" w:left="1701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4E3" w:rsidRDefault="009534E3">
      <w:r>
        <w:separator/>
      </w:r>
    </w:p>
  </w:endnote>
  <w:endnote w:type="continuationSeparator" w:id="0">
    <w:p w:rsidR="009534E3" w:rsidRDefault="00953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F84" w:rsidRDefault="00AD4F84">
    <w:pPr>
      <w:pStyle w:val="Rodap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</w:p>
  <w:p w:rsidR="00AD4F84" w:rsidRDefault="00AD4F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4E3" w:rsidRDefault="009534E3">
      <w:r>
        <w:separator/>
      </w:r>
    </w:p>
  </w:footnote>
  <w:footnote w:type="continuationSeparator" w:id="0">
    <w:p w:rsidR="009534E3" w:rsidRDefault="009534E3">
      <w:r>
        <w:continuationSeparator/>
      </w:r>
    </w:p>
  </w:footnote>
  <w:footnote w:id="1">
    <w:p w:rsidR="00697F25" w:rsidRPr="00697F25" w:rsidRDefault="00697F25" w:rsidP="00697F25">
      <w:pPr>
        <w:spacing w:line="360" w:lineRule="auto"/>
        <w:jc w:val="both"/>
        <w:rPr>
          <w:rFonts w:cs="Arial"/>
          <w:color w:val="000000" w:themeColor="text1"/>
          <w:sz w:val="20"/>
        </w:rPr>
      </w:pPr>
      <w:r w:rsidRPr="00697F25">
        <w:rPr>
          <w:rStyle w:val="Refdenotaderodap"/>
          <w:sz w:val="20"/>
        </w:rPr>
        <w:footnoteRef/>
      </w:r>
      <w:r w:rsidRPr="00697F25">
        <w:rPr>
          <w:sz w:val="20"/>
        </w:rPr>
        <w:t xml:space="preserve"> </w:t>
      </w:r>
      <w:r w:rsidR="000B0EC5">
        <w:rPr>
          <w:rFonts w:cs="Arial"/>
          <w:sz w:val="20"/>
        </w:rPr>
        <w:t xml:space="preserve">Art. 85. </w:t>
      </w:r>
      <w:r w:rsidRPr="00697F25">
        <w:rPr>
          <w:rFonts w:cs="Arial"/>
          <w:sz w:val="20"/>
        </w:rPr>
        <w:t>A sentença condenará o vencido a pagar honorários ao advogado do vencedor.</w:t>
      </w:r>
    </w:p>
    <w:p w:rsidR="00697F25" w:rsidRDefault="00697F25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05A" w:rsidRPr="00E4305A" w:rsidRDefault="00E4305A" w:rsidP="0035706B">
    <w:pPr>
      <w:tabs>
        <w:tab w:val="left" w:pos="-165"/>
        <w:tab w:val="center" w:pos="3969"/>
      </w:tabs>
      <w:ind w:left="-567"/>
      <w:rPr>
        <w:rFonts w:ascii="Century Gothic" w:hAnsi="Century Gothic"/>
        <w:sz w:val="20"/>
        <w:u w:val="single"/>
      </w:rPr>
    </w:pPr>
    <w:r>
      <w:tab/>
    </w:r>
    <w:r>
      <w:tab/>
    </w:r>
    <w:r w:rsidRPr="00E4305A">
      <w:rPr>
        <w:rFonts w:ascii="Century Gothic" w:hAnsi="Century Gothic"/>
        <w:sz w:val="20"/>
        <w:u w:val="single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06B" w:rsidRDefault="0035706B" w:rsidP="0035706B">
    <w:pPr>
      <w:tabs>
        <w:tab w:val="left" w:pos="-165"/>
        <w:tab w:val="center" w:pos="3969"/>
      </w:tabs>
      <w:ind w:left="-567"/>
      <w:jc w:val="center"/>
    </w:pPr>
    <w:r w:rsidRPr="009111BE">
      <w:rPr>
        <w:noProof/>
      </w:rPr>
      <w:drawing>
        <wp:anchor distT="0" distB="0" distL="114300" distR="114300" simplePos="0" relativeHeight="251660288" behindDoc="0" locked="0" layoutInCell="1" allowOverlap="1" wp14:anchorId="12A12060" wp14:editId="4A63C08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47750" cy="1047750"/>
          <wp:effectExtent l="19050" t="0" r="0" b="0"/>
          <wp:wrapNone/>
          <wp:docPr id="23" name="Imagem 23" descr="adesivo-carro-12x12-OAB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adesivo-carro-12x12-OABR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706B" w:rsidRDefault="0035706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572B0"/>
    <w:multiLevelType w:val="singleLevel"/>
    <w:tmpl w:val="363E53D2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">
    <w:nsid w:val="49562B7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0F60FD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37549B4"/>
    <w:multiLevelType w:val="hybridMultilevel"/>
    <w:tmpl w:val="D76249E8"/>
    <w:lvl w:ilvl="0" w:tplc="0A1642C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558"/>
    <w:rsid w:val="0000600D"/>
    <w:rsid w:val="00010C06"/>
    <w:rsid w:val="00020DF6"/>
    <w:rsid w:val="00021ADF"/>
    <w:rsid w:val="00023BCE"/>
    <w:rsid w:val="00025E51"/>
    <w:rsid w:val="00030BD8"/>
    <w:rsid w:val="00040F92"/>
    <w:rsid w:val="00054498"/>
    <w:rsid w:val="000553D1"/>
    <w:rsid w:val="000768C9"/>
    <w:rsid w:val="000777F2"/>
    <w:rsid w:val="00082ABF"/>
    <w:rsid w:val="00083126"/>
    <w:rsid w:val="000A17EB"/>
    <w:rsid w:val="000A2AA4"/>
    <w:rsid w:val="000B03C6"/>
    <w:rsid w:val="000B0EC5"/>
    <w:rsid w:val="000C69DF"/>
    <w:rsid w:val="000D573F"/>
    <w:rsid w:val="000D5EFA"/>
    <w:rsid w:val="000E1DB8"/>
    <w:rsid w:val="00110B89"/>
    <w:rsid w:val="00111BB9"/>
    <w:rsid w:val="00120097"/>
    <w:rsid w:val="00125906"/>
    <w:rsid w:val="00130DCF"/>
    <w:rsid w:val="00142C58"/>
    <w:rsid w:val="001457FF"/>
    <w:rsid w:val="00146723"/>
    <w:rsid w:val="00155ADA"/>
    <w:rsid w:val="00175970"/>
    <w:rsid w:val="001774CF"/>
    <w:rsid w:val="001817B5"/>
    <w:rsid w:val="00193363"/>
    <w:rsid w:val="00196EA0"/>
    <w:rsid w:val="00196F6B"/>
    <w:rsid w:val="001B363F"/>
    <w:rsid w:val="001B64B9"/>
    <w:rsid w:val="001B7048"/>
    <w:rsid w:val="001B7E03"/>
    <w:rsid w:val="001C1C37"/>
    <w:rsid w:val="001C213F"/>
    <w:rsid w:val="001E225C"/>
    <w:rsid w:val="001E4D53"/>
    <w:rsid w:val="001E4E26"/>
    <w:rsid w:val="001E5511"/>
    <w:rsid w:val="001F18BD"/>
    <w:rsid w:val="001F2D78"/>
    <w:rsid w:val="001F3C0E"/>
    <w:rsid w:val="002114AB"/>
    <w:rsid w:val="00224CE0"/>
    <w:rsid w:val="00225D53"/>
    <w:rsid w:val="002271CF"/>
    <w:rsid w:val="00241593"/>
    <w:rsid w:val="002448A9"/>
    <w:rsid w:val="00247EF8"/>
    <w:rsid w:val="00254E3D"/>
    <w:rsid w:val="002571AD"/>
    <w:rsid w:val="0027210B"/>
    <w:rsid w:val="002907A6"/>
    <w:rsid w:val="00291322"/>
    <w:rsid w:val="00291B52"/>
    <w:rsid w:val="0029285F"/>
    <w:rsid w:val="00295A8C"/>
    <w:rsid w:val="002A5ADA"/>
    <w:rsid w:val="002C15CA"/>
    <w:rsid w:val="002C5259"/>
    <w:rsid w:val="002D2B6F"/>
    <w:rsid w:val="002D5000"/>
    <w:rsid w:val="002F6A54"/>
    <w:rsid w:val="00300B0B"/>
    <w:rsid w:val="00302AAD"/>
    <w:rsid w:val="003049BC"/>
    <w:rsid w:val="003144CD"/>
    <w:rsid w:val="003221D8"/>
    <w:rsid w:val="00336DDE"/>
    <w:rsid w:val="00340DD8"/>
    <w:rsid w:val="00341C65"/>
    <w:rsid w:val="003463A5"/>
    <w:rsid w:val="0035706B"/>
    <w:rsid w:val="0036123F"/>
    <w:rsid w:val="00362BB1"/>
    <w:rsid w:val="00364670"/>
    <w:rsid w:val="003646D0"/>
    <w:rsid w:val="0039513A"/>
    <w:rsid w:val="003B01F1"/>
    <w:rsid w:val="003B2824"/>
    <w:rsid w:val="003B4B2B"/>
    <w:rsid w:val="003B5137"/>
    <w:rsid w:val="003C0BFB"/>
    <w:rsid w:val="003C7DA5"/>
    <w:rsid w:val="003D3644"/>
    <w:rsid w:val="003E13F7"/>
    <w:rsid w:val="003E74E8"/>
    <w:rsid w:val="003E7531"/>
    <w:rsid w:val="003F0572"/>
    <w:rsid w:val="00401B68"/>
    <w:rsid w:val="004034C1"/>
    <w:rsid w:val="0040611D"/>
    <w:rsid w:val="0041064B"/>
    <w:rsid w:val="004174B5"/>
    <w:rsid w:val="00422A55"/>
    <w:rsid w:val="00445D6A"/>
    <w:rsid w:val="0045653C"/>
    <w:rsid w:val="00456844"/>
    <w:rsid w:val="00465574"/>
    <w:rsid w:val="00474C2A"/>
    <w:rsid w:val="0048584E"/>
    <w:rsid w:val="004871B7"/>
    <w:rsid w:val="004912FD"/>
    <w:rsid w:val="0049193A"/>
    <w:rsid w:val="00497C27"/>
    <w:rsid w:val="00497F56"/>
    <w:rsid w:val="004A0118"/>
    <w:rsid w:val="004A4F01"/>
    <w:rsid w:val="004A7195"/>
    <w:rsid w:val="004B1749"/>
    <w:rsid w:val="004B3D28"/>
    <w:rsid w:val="004B5D4D"/>
    <w:rsid w:val="004D1EF4"/>
    <w:rsid w:val="004D2713"/>
    <w:rsid w:val="004D5D6D"/>
    <w:rsid w:val="004E035F"/>
    <w:rsid w:val="004E0482"/>
    <w:rsid w:val="004E4FEE"/>
    <w:rsid w:val="004E650E"/>
    <w:rsid w:val="004F41FA"/>
    <w:rsid w:val="00512559"/>
    <w:rsid w:val="0051488B"/>
    <w:rsid w:val="00523196"/>
    <w:rsid w:val="005327E1"/>
    <w:rsid w:val="005500DC"/>
    <w:rsid w:val="00572127"/>
    <w:rsid w:val="00572171"/>
    <w:rsid w:val="00580210"/>
    <w:rsid w:val="00595306"/>
    <w:rsid w:val="00597DAD"/>
    <w:rsid w:val="005A2C04"/>
    <w:rsid w:val="005A38B8"/>
    <w:rsid w:val="005A50C5"/>
    <w:rsid w:val="005A7434"/>
    <w:rsid w:val="005B6E28"/>
    <w:rsid w:val="005C1950"/>
    <w:rsid w:val="005C67B9"/>
    <w:rsid w:val="005D79BE"/>
    <w:rsid w:val="005E160B"/>
    <w:rsid w:val="005E3AA6"/>
    <w:rsid w:val="005E3F54"/>
    <w:rsid w:val="005E42A5"/>
    <w:rsid w:val="005F3DE5"/>
    <w:rsid w:val="005F72B6"/>
    <w:rsid w:val="006076F7"/>
    <w:rsid w:val="00610DDF"/>
    <w:rsid w:val="00614CE7"/>
    <w:rsid w:val="006236FC"/>
    <w:rsid w:val="00643229"/>
    <w:rsid w:val="00644650"/>
    <w:rsid w:val="00651766"/>
    <w:rsid w:val="00671492"/>
    <w:rsid w:val="00671D28"/>
    <w:rsid w:val="00697F25"/>
    <w:rsid w:val="006B3E38"/>
    <w:rsid w:val="006D01A7"/>
    <w:rsid w:val="006D63DF"/>
    <w:rsid w:val="006D72B7"/>
    <w:rsid w:val="006E1DE3"/>
    <w:rsid w:val="006E53B0"/>
    <w:rsid w:val="006E6AA7"/>
    <w:rsid w:val="006F31F6"/>
    <w:rsid w:val="00704DC2"/>
    <w:rsid w:val="00705076"/>
    <w:rsid w:val="0070778E"/>
    <w:rsid w:val="0071402A"/>
    <w:rsid w:val="0072541D"/>
    <w:rsid w:val="00725677"/>
    <w:rsid w:val="00727B06"/>
    <w:rsid w:val="00732275"/>
    <w:rsid w:val="00741A16"/>
    <w:rsid w:val="00744089"/>
    <w:rsid w:val="007455B9"/>
    <w:rsid w:val="00753A25"/>
    <w:rsid w:val="0075783E"/>
    <w:rsid w:val="00771300"/>
    <w:rsid w:val="007716EC"/>
    <w:rsid w:val="00774F4F"/>
    <w:rsid w:val="00777101"/>
    <w:rsid w:val="007A5F68"/>
    <w:rsid w:val="007B3B53"/>
    <w:rsid w:val="007C76D4"/>
    <w:rsid w:val="007C7BBB"/>
    <w:rsid w:val="007D1D55"/>
    <w:rsid w:val="007D4108"/>
    <w:rsid w:val="007D6C21"/>
    <w:rsid w:val="007E0C24"/>
    <w:rsid w:val="00800BD7"/>
    <w:rsid w:val="00814FDE"/>
    <w:rsid w:val="00815606"/>
    <w:rsid w:val="0081592B"/>
    <w:rsid w:val="00817609"/>
    <w:rsid w:val="008225AD"/>
    <w:rsid w:val="0083068F"/>
    <w:rsid w:val="00831030"/>
    <w:rsid w:val="00832789"/>
    <w:rsid w:val="008334CA"/>
    <w:rsid w:val="008418A2"/>
    <w:rsid w:val="00846ED1"/>
    <w:rsid w:val="00866AE3"/>
    <w:rsid w:val="00871D9D"/>
    <w:rsid w:val="0087291B"/>
    <w:rsid w:val="008927E8"/>
    <w:rsid w:val="008933F1"/>
    <w:rsid w:val="0089520A"/>
    <w:rsid w:val="0089574E"/>
    <w:rsid w:val="008A1E6E"/>
    <w:rsid w:val="008A4A12"/>
    <w:rsid w:val="008C23FE"/>
    <w:rsid w:val="008C4CE7"/>
    <w:rsid w:val="008C77F6"/>
    <w:rsid w:val="008E05DB"/>
    <w:rsid w:val="008E2548"/>
    <w:rsid w:val="008E2A87"/>
    <w:rsid w:val="008F3F92"/>
    <w:rsid w:val="008F4B03"/>
    <w:rsid w:val="009111BE"/>
    <w:rsid w:val="009216E6"/>
    <w:rsid w:val="00922A9D"/>
    <w:rsid w:val="00924D90"/>
    <w:rsid w:val="009333C6"/>
    <w:rsid w:val="00941193"/>
    <w:rsid w:val="0094442F"/>
    <w:rsid w:val="00951430"/>
    <w:rsid w:val="009534E3"/>
    <w:rsid w:val="009614AD"/>
    <w:rsid w:val="009624A3"/>
    <w:rsid w:val="009633A2"/>
    <w:rsid w:val="0096627B"/>
    <w:rsid w:val="0097136A"/>
    <w:rsid w:val="0097166D"/>
    <w:rsid w:val="009858F6"/>
    <w:rsid w:val="009970AD"/>
    <w:rsid w:val="009A243B"/>
    <w:rsid w:val="009A74BB"/>
    <w:rsid w:val="009B264B"/>
    <w:rsid w:val="009C2253"/>
    <w:rsid w:val="009D01E9"/>
    <w:rsid w:val="009D106D"/>
    <w:rsid w:val="009E439D"/>
    <w:rsid w:val="009F3F60"/>
    <w:rsid w:val="00A0311E"/>
    <w:rsid w:val="00A12388"/>
    <w:rsid w:val="00A12A0C"/>
    <w:rsid w:val="00A2169A"/>
    <w:rsid w:val="00A26119"/>
    <w:rsid w:val="00A31507"/>
    <w:rsid w:val="00A34F64"/>
    <w:rsid w:val="00A36C01"/>
    <w:rsid w:val="00A43BA8"/>
    <w:rsid w:val="00A43C8C"/>
    <w:rsid w:val="00A47862"/>
    <w:rsid w:val="00A6362D"/>
    <w:rsid w:val="00A661C6"/>
    <w:rsid w:val="00A70149"/>
    <w:rsid w:val="00A74886"/>
    <w:rsid w:val="00A95A8F"/>
    <w:rsid w:val="00A9759D"/>
    <w:rsid w:val="00AA4782"/>
    <w:rsid w:val="00AA4FF8"/>
    <w:rsid w:val="00AB0F45"/>
    <w:rsid w:val="00AB1F29"/>
    <w:rsid w:val="00AB4A50"/>
    <w:rsid w:val="00AB5F2B"/>
    <w:rsid w:val="00AD2E08"/>
    <w:rsid w:val="00AD4F84"/>
    <w:rsid w:val="00AD5B89"/>
    <w:rsid w:val="00AE1926"/>
    <w:rsid w:val="00AE334D"/>
    <w:rsid w:val="00B159C1"/>
    <w:rsid w:val="00B32112"/>
    <w:rsid w:val="00B34A84"/>
    <w:rsid w:val="00B4545E"/>
    <w:rsid w:val="00B80726"/>
    <w:rsid w:val="00B95CF2"/>
    <w:rsid w:val="00B95E0B"/>
    <w:rsid w:val="00BA755E"/>
    <w:rsid w:val="00BB17A8"/>
    <w:rsid w:val="00BB372C"/>
    <w:rsid w:val="00BB4DFF"/>
    <w:rsid w:val="00BB5558"/>
    <w:rsid w:val="00BB6CFD"/>
    <w:rsid w:val="00BD607E"/>
    <w:rsid w:val="00BD77C2"/>
    <w:rsid w:val="00BE6312"/>
    <w:rsid w:val="00C022AA"/>
    <w:rsid w:val="00C13653"/>
    <w:rsid w:val="00C14379"/>
    <w:rsid w:val="00C14EE4"/>
    <w:rsid w:val="00C24207"/>
    <w:rsid w:val="00C24AAB"/>
    <w:rsid w:val="00C4369A"/>
    <w:rsid w:val="00C45058"/>
    <w:rsid w:val="00C474E9"/>
    <w:rsid w:val="00C51532"/>
    <w:rsid w:val="00C54E9A"/>
    <w:rsid w:val="00C84D64"/>
    <w:rsid w:val="00C914F4"/>
    <w:rsid w:val="00C92B9B"/>
    <w:rsid w:val="00CA4FB5"/>
    <w:rsid w:val="00CD34C8"/>
    <w:rsid w:val="00CD47E5"/>
    <w:rsid w:val="00CD6E6B"/>
    <w:rsid w:val="00CE18B7"/>
    <w:rsid w:val="00CF48BE"/>
    <w:rsid w:val="00CF51EC"/>
    <w:rsid w:val="00D01315"/>
    <w:rsid w:val="00D1460A"/>
    <w:rsid w:val="00D217A9"/>
    <w:rsid w:val="00D22427"/>
    <w:rsid w:val="00D26322"/>
    <w:rsid w:val="00D37F1E"/>
    <w:rsid w:val="00D43040"/>
    <w:rsid w:val="00D506DE"/>
    <w:rsid w:val="00D55770"/>
    <w:rsid w:val="00D73724"/>
    <w:rsid w:val="00D803F7"/>
    <w:rsid w:val="00DA60B2"/>
    <w:rsid w:val="00DB0D85"/>
    <w:rsid w:val="00DC2C87"/>
    <w:rsid w:val="00DC3F70"/>
    <w:rsid w:val="00DC4006"/>
    <w:rsid w:val="00DD2677"/>
    <w:rsid w:val="00DD72C6"/>
    <w:rsid w:val="00DE2814"/>
    <w:rsid w:val="00DF4BCF"/>
    <w:rsid w:val="00E03192"/>
    <w:rsid w:val="00E12BF5"/>
    <w:rsid w:val="00E12E75"/>
    <w:rsid w:val="00E204CE"/>
    <w:rsid w:val="00E21D9A"/>
    <w:rsid w:val="00E21E06"/>
    <w:rsid w:val="00E4305A"/>
    <w:rsid w:val="00E4524A"/>
    <w:rsid w:val="00E504C0"/>
    <w:rsid w:val="00E6058B"/>
    <w:rsid w:val="00E7140A"/>
    <w:rsid w:val="00E76B3F"/>
    <w:rsid w:val="00E81FDC"/>
    <w:rsid w:val="00E8674E"/>
    <w:rsid w:val="00EB14D6"/>
    <w:rsid w:val="00EB6EF1"/>
    <w:rsid w:val="00EC4273"/>
    <w:rsid w:val="00ED02D2"/>
    <w:rsid w:val="00ED1431"/>
    <w:rsid w:val="00EE1E78"/>
    <w:rsid w:val="00EF51D4"/>
    <w:rsid w:val="00EF6352"/>
    <w:rsid w:val="00F05363"/>
    <w:rsid w:val="00F1407A"/>
    <w:rsid w:val="00F1407F"/>
    <w:rsid w:val="00F1456F"/>
    <w:rsid w:val="00F314A9"/>
    <w:rsid w:val="00F41F9C"/>
    <w:rsid w:val="00F526A8"/>
    <w:rsid w:val="00F708E5"/>
    <w:rsid w:val="00F81A02"/>
    <w:rsid w:val="00F826CC"/>
    <w:rsid w:val="00F8566F"/>
    <w:rsid w:val="00FA4803"/>
    <w:rsid w:val="00FC0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A12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8A4A12"/>
    <w:pPr>
      <w:keepNext/>
      <w:jc w:val="both"/>
      <w:outlineLvl w:val="0"/>
    </w:pPr>
    <w:rPr>
      <w:rFonts w:ascii="Times New Roman" w:hAnsi="Times New Roman"/>
      <w:b/>
    </w:rPr>
  </w:style>
  <w:style w:type="paragraph" w:styleId="Ttulo2">
    <w:name w:val="heading 2"/>
    <w:basedOn w:val="Normal"/>
    <w:next w:val="Normal"/>
    <w:qFormat/>
    <w:rsid w:val="008A4A12"/>
    <w:pPr>
      <w:keepNext/>
      <w:jc w:val="center"/>
      <w:outlineLvl w:val="1"/>
    </w:pPr>
    <w:rPr>
      <w:rFonts w:ascii="Times New Roman" w:hAnsi="Times New Roman"/>
      <w:b/>
    </w:rPr>
  </w:style>
  <w:style w:type="paragraph" w:styleId="Ttulo3">
    <w:name w:val="heading 3"/>
    <w:basedOn w:val="Normal"/>
    <w:next w:val="Normal"/>
    <w:qFormat/>
    <w:rsid w:val="008A4A12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8A4A12"/>
    <w:pPr>
      <w:keepNext/>
      <w:outlineLvl w:val="3"/>
    </w:pPr>
    <w:rPr>
      <w:rFonts w:ascii="Times New Roman" w:hAnsi="Times New Roman"/>
      <w:b/>
      <w:sz w:val="22"/>
    </w:rPr>
  </w:style>
  <w:style w:type="paragraph" w:styleId="Ttulo5">
    <w:name w:val="heading 5"/>
    <w:basedOn w:val="Normal"/>
    <w:next w:val="Normal"/>
    <w:qFormat/>
    <w:rsid w:val="008A4A12"/>
    <w:pPr>
      <w:keepNext/>
      <w:jc w:val="both"/>
      <w:outlineLvl w:val="4"/>
    </w:pPr>
    <w:rPr>
      <w:rFonts w:ascii="Times New Roman" w:hAnsi="Times New Roman"/>
      <w:b/>
      <w:i/>
      <w:color w:val="0000F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8A4A1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A4A12"/>
    <w:pPr>
      <w:tabs>
        <w:tab w:val="center" w:pos="4419"/>
        <w:tab w:val="right" w:pos="8838"/>
      </w:tabs>
    </w:pPr>
  </w:style>
  <w:style w:type="character" w:styleId="Hyperlink">
    <w:name w:val="Hyperlink"/>
    <w:semiHidden/>
    <w:rsid w:val="008A4A12"/>
    <w:rPr>
      <w:color w:val="0000FF"/>
      <w:u w:val="single"/>
    </w:rPr>
  </w:style>
  <w:style w:type="character" w:styleId="Nmerodepgina">
    <w:name w:val="page number"/>
    <w:basedOn w:val="Fontepargpadro"/>
    <w:semiHidden/>
    <w:rsid w:val="008A4A12"/>
  </w:style>
  <w:style w:type="paragraph" w:styleId="Corpodetexto">
    <w:name w:val="Body Text"/>
    <w:basedOn w:val="Normal"/>
    <w:semiHidden/>
    <w:rsid w:val="008A4A12"/>
    <w:pPr>
      <w:spacing w:line="360" w:lineRule="auto"/>
      <w:jc w:val="both"/>
    </w:pPr>
    <w:rPr>
      <w:rFonts w:ascii="Times New Roman" w:hAnsi="Times New Roman"/>
    </w:rPr>
  </w:style>
  <w:style w:type="character" w:customStyle="1" w:styleId="Ttulo1Char">
    <w:name w:val="Título 1 Char"/>
    <w:rsid w:val="008A4A12"/>
    <w:rPr>
      <w:b/>
      <w:sz w:val="24"/>
    </w:rPr>
  </w:style>
  <w:style w:type="character" w:customStyle="1" w:styleId="Ttulo2Char">
    <w:name w:val="Título 2 Char"/>
    <w:rsid w:val="008A4A12"/>
    <w:rPr>
      <w:b/>
      <w:sz w:val="24"/>
    </w:rPr>
  </w:style>
  <w:style w:type="character" w:customStyle="1" w:styleId="Ttulo4Char">
    <w:name w:val="Título 4 Char"/>
    <w:rsid w:val="008A4A12"/>
    <w:rPr>
      <w:b/>
      <w:sz w:val="22"/>
    </w:rPr>
  </w:style>
  <w:style w:type="character" w:customStyle="1" w:styleId="Ttulo5Char">
    <w:name w:val="Título 5 Char"/>
    <w:rsid w:val="008A4A12"/>
    <w:rPr>
      <w:b/>
      <w:i/>
      <w:color w:val="0000FF"/>
      <w:sz w:val="24"/>
    </w:rPr>
  </w:style>
  <w:style w:type="character" w:customStyle="1" w:styleId="CabealhoChar">
    <w:name w:val="Cabeçalho Char"/>
    <w:semiHidden/>
    <w:rsid w:val="008A4A12"/>
    <w:rPr>
      <w:rFonts w:ascii="Arial" w:hAnsi="Arial"/>
      <w:sz w:val="24"/>
    </w:rPr>
  </w:style>
  <w:style w:type="character" w:customStyle="1" w:styleId="CorpodetextoChar">
    <w:name w:val="Corpo de texto Char"/>
    <w:semiHidden/>
    <w:rsid w:val="008A4A12"/>
    <w:rPr>
      <w:sz w:val="24"/>
    </w:rPr>
  </w:style>
  <w:style w:type="paragraph" w:styleId="Corpodetexto2">
    <w:name w:val="Body Text 2"/>
    <w:basedOn w:val="Normal"/>
    <w:semiHidden/>
    <w:rsid w:val="008A4A12"/>
    <w:rPr>
      <w:i/>
      <w:sz w:val="16"/>
    </w:rPr>
  </w:style>
  <w:style w:type="paragraph" w:styleId="Textodebalo">
    <w:name w:val="Balloon Text"/>
    <w:basedOn w:val="Normal"/>
    <w:semiHidden/>
    <w:unhideWhenUsed/>
    <w:rsid w:val="008A4A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8A4A12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110B89"/>
    <w:rPr>
      <w:rFonts w:ascii="Arial" w:hAnsi="Arial"/>
      <w:sz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96F6B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196F6B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B4545E"/>
    <w:pPr>
      <w:ind w:left="708"/>
    </w:pPr>
  </w:style>
  <w:style w:type="character" w:styleId="nfase">
    <w:name w:val="Emphasis"/>
    <w:uiPriority w:val="20"/>
    <w:qFormat/>
    <w:rsid w:val="00643229"/>
    <w:rPr>
      <w:i/>
      <w:iCs/>
    </w:rPr>
  </w:style>
  <w:style w:type="character" w:styleId="Forte">
    <w:name w:val="Strong"/>
    <w:uiPriority w:val="22"/>
    <w:qFormat/>
    <w:rsid w:val="00643229"/>
    <w:rPr>
      <w:b/>
      <w:bCs/>
    </w:rPr>
  </w:style>
  <w:style w:type="character" w:customStyle="1" w:styleId="subtitulos1">
    <w:name w:val="subtitulos1"/>
    <w:basedOn w:val="Fontepargpadro"/>
    <w:rsid w:val="00644650"/>
    <w:rPr>
      <w:rFonts w:ascii="Tahoma" w:hAnsi="Tahoma" w:cs="Tahoma" w:hint="default"/>
      <w:b/>
      <w:bCs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9C2253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C2253"/>
    <w:rPr>
      <w:rFonts w:ascii="Arial" w:hAnsi="Arial"/>
    </w:rPr>
  </w:style>
  <w:style w:type="character" w:styleId="Refdenotaderodap">
    <w:name w:val="footnote reference"/>
    <w:basedOn w:val="Fontepargpadro"/>
    <w:uiPriority w:val="99"/>
    <w:semiHidden/>
    <w:unhideWhenUsed/>
    <w:rsid w:val="009C225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81A0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Fontepargpadro"/>
    <w:rsid w:val="00F81A02"/>
  </w:style>
  <w:style w:type="character" w:customStyle="1" w:styleId="firstementa">
    <w:name w:val="firstementa"/>
    <w:basedOn w:val="Fontepargpadro"/>
    <w:rsid w:val="00F1407A"/>
  </w:style>
  <w:style w:type="character" w:customStyle="1" w:styleId="marcapalavra">
    <w:name w:val="marca_palavra"/>
    <w:basedOn w:val="Fontepargpadro"/>
    <w:rsid w:val="00F1407A"/>
  </w:style>
  <w:style w:type="character" w:customStyle="1" w:styleId="hidden">
    <w:name w:val="hidden"/>
    <w:basedOn w:val="Fontepargpadro"/>
    <w:rsid w:val="00F1407A"/>
  </w:style>
  <w:style w:type="paragraph" w:customStyle="1" w:styleId="Default">
    <w:name w:val="Default"/>
    <w:rsid w:val="00AE192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D4F84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A12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8A4A12"/>
    <w:pPr>
      <w:keepNext/>
      <w:jc w:val="both"/>
      <w:outlineLvl w:val="0"/>
    </w:pPr>
    <w:rPr>
      <w:rFonts w:ascii="Times New Roman" w:hAnsi="Times New Roman"/>
      <w:b/>
    </w:rPr>
  </w:style>
  <w:style w:type="paragraph" w:styleId="Ttulo2">
    <w:name w:val="heading 2"/>
    <w:basedOn w:val="Normal"/>
    <w:next w:val="Normal"/>
    <w:qFormat/>
    <w:rsid w:val="008A4A12"/>
    <w:pPr>
      <w:keepNext/>
      <w:jc w:val="center"/>
      <w:outlineLvl w:val="1"/>
    </w:pPr>
    <w:rPr>
      <w:rFonts w:ascii="Times New Roman" w:hAnsi="Times New Roman"/>
      <w:b/>
    </w:rPr>
  </w:style>
  <w:style w:type="paragraph" w:styleId="Ttulo3">
    <w:name w:val="heading 3"/>
    <w:basedOn w:val="Normal"/>
    <w:next w:val="Normal"/>
    <w:qFormat/>
    <w:rsid w:val="008A4A12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8A4A12"/>
    <w:pPr>
      <w:keepNext/>
      <w:outlineLvl w:val="3"/>
    </w:pPr>
    <w:rPr>
      <w:rFonts w:ascii="Times New Roman" w:hAnsi="Times New Roman"/>
      <w:b/>
      <w:sz w:val="22"/>
    </w:rPr>
  </w:style>
  <w:style w:type="paragraph" w:styleId="Ttulo5">
    <w:name w:val="heading 5"/>
    <w:basedOn w:val="Normal"/>
    <w:next w:val="Normal"/>
    <w:qFormat/>
    <w:rsid w:val="008A4A12"/>
    <w:pPr>
      <w:keepNext/>
      <w:jc w:val="both"/>
      <w:outlineLvl w:val="4"/>
    </w:pPr>
    <w:rPr>
      <w:rFonts w:ascii="Times New Roman" w:hAnsi="Times New Roman"/>
      <w:b/>
      <w:i/>
      <w:color w:val="0000F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8A4A1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A4A12"/>
    <w:pPr>
      <w:tabs>
        <w:tab w:val="center" w:pos="4419"/>
        <w:tab w:val="right" w:pos="8838"/>
      </w:tabs>
    </w:pPr>
  </w:style>
  <w:style w:type="character" w:styleId="Hyperlink">
    <w:name w:val="Hyperlink"/>
    <w:semiHidden/>
    <w:rsid w:val="008A4A12"/>
    <w:rPr>
      <w:color w:val="0000FF"/>
      <w:u w:val="single"/>
    </w:rPr>
  </w:style>
  <w:style w:type="character" w:styleId="Nmerodepgina">
    <w:name w:val="page number"/>
    <w:basedOn w:val="Fontepargpadro"/>
    <w:semiHidden/>
    <w:rsid w:val="008A4A12"/>
  </w:style>
  <w:style w:type="paragraph" w:styleId="Corpodetexto">
    <w:name w:val="Body Text"/>
    <w:basedOn w:val="Normal"/>
    <w:semiHidden/>
    <w:rsid w:val="008A4A12"/>
    <w:pPr>
      <w:spacing w:line="360" w:lineRule="auto"/>
      <w:jc w:val="both"/>
    </w:pPr>
    <w:rPr>
      <w:rFonts w:ascii="Times New Roman" w:hAnsi="Times New Roman"/>
    </w:rPr>
  </w:style>
  <w:style w:type="character" w:customStyle="1" w:styleId="Ttulo1Char">
    <w:name w:val="Título 1 Char"/>
    <w:rsid w:val="008A4A12"/>
    <w:rPr>
      <w:b/>
      <w:sz w:val="24"/>
    </w:rPr>
  </w:style>
  <w:style w:type="character" w:customStyle="1" w:styleId="Ttulo2Char">
    <w:name w:val="Título 2 Char"/>
    <w:rsid w:val="008A4A12"/>
    <w:rPr>
      <w:b/>
      <w:sz w:val="24"/>
    </w:rPr>
  </w:style>
  <w:style w:type="character" w:customStyle="1" w:styleId="Ttulo4Char">
    <w:name w:val="Título 4 Char"/>
    <w:rsid w:val="008A4A12"/>
    <w:rPr>
      <w:b/>
      <w:sz w:val="22"/>
    </w:rPr>
  </w:style>
  <w:style w:type="character" w:customStyle="1" w:styleId="Ttulo5Char">
    <w:name w:val="Título 5 Char"/>
    <w:rsid w:val="008A4A12"/>
    <w:rPr>
      <w:b/>
      <w:i/>
      <w:color w:val="0000FF"/>
      <w:sz w:val="24"/>
    </w:rPr>
  </w:style>
  <w:style w:type="character" w:customStyle="1" w:styleId="CabealhoChar">
    <w:name w:val="Cabeçalho Char"/>
    <w:semiHidden/>
    <w:rsid w:val="008A4A12"/>
    <w:rPr>
      <w:rFonts w:ascii="Arial" w:hAnsi="Arial"/>
      <w:sz w:val="24"/>
    </w:rPr>
  </w:style>
  <w:style w:type="character" w:customStyle="1" w:styleId="CorpodetextoChar">
    <w:name w:val="Corpo de texto Char"/>
    <w:semiHidden/>
    <w:rsid w:val="008A4A12"/>
    <w:rPr>
      <w:sz w:val="24"/>
    </w:rPr>
  </w:style>
  <w:style w:type="paragraph" w:styleId="Corpodetexto2">
    <w:name w:val="Body Text 2"/>
    <w:basedOn w:val="Normal"/>
    <w:semiHidden/>
    <w:rsid w:val="008A4A12"/>
    <w:rPr>
      <w:i/>
      <w:sz w:val="16"/>
    </w:rPr>
  </w:style>
  <w:style w:type="paragraph" w:styleId="Textodebalo">
    <w:name w:val="Balloon Text"/>
    <w:basedOn w:val="Normal"/>
    <w:semiHidden/>
    <w:unhideWhenUsed/>
    <w:rsid w:val="008A4A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8A4A12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110B89"/>
    <w:rPr>
      <w:rFonts w:ascii="Arial" w:hAnsi="Arial"/>
      <w:sz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96F6B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196F6B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B4545E"/>
    <w:pPr>
      <w:ind w:left="708"/>
    </w:pPr>
  </w:style>
  <w:style w:type="character" w:styleId="nfase">
    <w:name w:val="Emphasis"/>
    <w:uiPriority w:val="20"/>
    <w:qFormat/>
    <w:rsid w:val="00643229"/>
    <w:rPr>
      <w:i/>
      <w:iCs/>
    </w:rPr>
  </w:style>
  <w:style w:type="character" w:styleId="Forte">
    <w:name w:val="Strong"/>
    <w:uiPriority w:val="22"/>
    <w:qFormat/>
    <w:rsid w:val="00643229"/>
    <w:rPr>
      <w:b/>
      <w:bCs/>
    </w:rPr>
  </w:style>
  <w:style w:type="character" w:customStyle="1" w:styleId="subtitulos1">
    <w:name w:val="subtitulos1"/>
    <w:basedOn w:val="Fontepargpadro"/>
    <w:rsid w:val="00644650"/>
    <w:rPr>
      <w:rFonts w:ascii="Tahoma" w:hAnsi="Tahoma" w:cs="Tahoma" w:hint="default"/>
      <w:b/>
      <w:bCs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9C2253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C2253"/>
    <w:rPr>
      <w:rFonts w:ascii="Arial" w:hAnsi="Arial"/>
    </w:rPr>
  </w:style>
  <w:style w:type="character" w:styleId="Refdenotaderodap">
    <w:name w:val="footnote reference"/>
    <w:basedOn w:val="Fontepargpadro"/>
    <w:uiPriority w:val="99"/>
    <w:semiHidden/>
    <w:unhideWhenUsed/>
    <w:rsid w:val="009C225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81A0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Fontepargpadro"/>
    <w:rsid w:val="00F81A02"/>
  </w:style>
  <w:style w:type="character" w:customStyle="1" w:styleId="firstementa">
    <w:name w:val="firstementa"/>
    <w:basedOn w:val="Fontepargpadro"/>
    <w:rsid w:val="00F1407A"/>
  </w:style>
  <w:style w:type="character" w:customStyle="1" w:styleId="marcapalavra">
    <w:name w:val="marca_palavra"/>
    <w:basedOn w:val="Fontepargpadro"/>
    <w:rsid w:val="00F1407A"/>
  </w:style>
  <w:style w:type="character" w:customStyle="1" w:styleId="hidden">
    <w:name w:val="hidden"/>
    <w:basedOn w:val="Fontepargpadro"/>
    <w:rsid w:val="00F1407A"/>
  </w:style>
  <w:style w:type="paragraph" w:customStyle="1" w:styleId="Default">
    <w:name w:val="Default"/>
    <w:rsid w:val="00AE192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D4F8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ETORES\CDA\MODELOS\OF200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45BCF-E83A-4089-9BA4-58D55223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OF2000</Template>
  <TotalTime>1</TotalTime>
  <Pages>3</Pages>
  <Words>969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186/2000</vt:lpstr>
    </vt:vector>
  </TitlesOfParts>
  <Company>OAB/RS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186/2000</dc:title>
  <dc:creator>ORDEM DOS ADVOGADOS DO BRASIL</dc:creator>
  <cp:lastModifiedBy>Luciano Medeiros</cp:lastModifiedBy>
  <cp:revision>2</cp:revision>
  <cp:lastPrinted>2017-07-27T20:20:00Z</cp:lastPrinted>
  <dcterms:created xsi:type="dcterms:W3CDTF">2017-09-29T13:49:00Z</dcterms:created>
  <dcterms:modified xsi:type="dcterms:W3CDTF">2017-09-29T13:49:00Z</dcterms:modified>
</cp:coreProperties>
</file>