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07076524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noProof/>
          <w:color w:val="000000" w:themeColor="text1"/>
        </w:rPr>
      </w:sdtEndPr>
      <w:sdtContent>
        <w:p w14:paraId="76803F9A" w14:textId="4BC9756C" w:rsidR="0088439A" w:rsidRDefault="000A5719">
          <w:r>
            <w:rPr>
              <w:rFonts w:ascii="Arial" w:hAnsi="Arial" w:cs="Arial"/>
              <w:b/>
              <w:noProof/>
              <w:color w:val="000000" w:themeColor="text1"/>
              <w:lang w:eastAsia="pt-BR"/>
            </w:rPr>
            <w:drawing>
              <wp:anchor distT="0" distB="0" distL="114300" distR="114300" simplePos="0" relativeHeight="251689984" behindDoc="0" locked="0" layoutInCell="1" allowOverlap="1" wp14:anchorId="763753C9" wp14:editId="5AF44B19">
                <wp:simplePos x="0" y="0"/>
                <wp:positionH relativeFrom="column">
                  <wp:posOffset>-889917</wp:posOffset>
                </wp:positionH>
                <wp:positionV relativeFrom="paragraph">
                  <wp:posOffset>-626463</wp:posOffset>
                </wp:positionV>
                <wp:extent cx="7174865" cy="2691765"/>
                <wp:effectExtent l="0" t="0" r="698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4865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8439A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5E11D527" wp14:editId="488D57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tâ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AF60F" w14:textId="77777777" w:rsidR="0088439A" w:rsidRDefault="0088439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E11D527" id="Retângulo 466" o:spid="_x0000_s1026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c32QIAAIUGAAAOAAAAZHJzL2Uyb0RvYy54bWysVdtu1DAQfUfiHyy/0+x9l6jZatWqCGmh&#10;VVvUZ6/jbCIcj7G9Nz6HX+HHGNtJui0LCMRLNJ77nLnk/GJfS7IVxlagMto/61EiFIe8UuuMfnq4&#10;fjOjxDqmciZBiYwehKUX89evznc6FQMoQebCEHSibLrTGS2d02mSWF6Kmtkz0EKhsABTM4dPs05y&#10;w3bovZbJoNebJDswuTbAhbXIvYpCOg/+i0Jwd1MUVjgiM4q5ufA14bvy32R+ztK1YbqseJMG+4cs&#10;alYpDNq5umKOkY2pfnJVV9yAhcKdcagTKIqKi1ADVtPvvajmvmRahFoQHKs7mOz/c8s/bm8NqfKM&#10;jiYTShSrsUl3wn3/ptYbCcRzEaOdtimq3utb46u0egn8s0VB8kziH7bR2Rem9rpYI9kHwA8d4GLv&#10;CEfmdDgbTmfYF46yt+PxeIQP75Wlrbk21r0TUBNPZNRgRwPQbLu0Lqq2Kg3++XUlZaAtqkSCaEDQ&#10;esEyzJa4lIZsGU4F41wo1w8iuak/QB75OF29Zj6QjVMU2bOWjTl2nkLGa3scq+/1/irgpPXM0uOA&#10;o5Z9MiAy17FMTxnWFS+Vz0aBByPC5DmhXbFDoVfuIIXXk+pOFDgG2JPBn0CyJctFBGP8y9yCQ++5&#10;wPidbwRleMq9dIOm7Y26txRhfTvb32IZK+wsQmBQrjOuKwXmdOR+GznqtxhFZDxIbr/ao39PriA/&#10;4LoYiHfEan5d4VgumXW3zODhwFHGY+hu8FNI2GUUGoqSEszXU3yvj/uMUkp2eIgyar9smBGUyPcK&#10;h3YwHQ0H/nSF12g89Q/zTLQ6FqlNfQk41308vJoH0hs42ZKFgfoRr+bCx0URUxyjZ5Q70z4uXTyR&#10;eHe5WCyCGt4rzdxS3WvunXuI/eI97B+Z0c12Olzsj9CeLZa+WNKo6y0VLDYOiips8BOyDfh46+JG&#10;xbvsj+nxO2g9/T3mPwAAAP//AwBQSwMEFAAGAAgAAAAhANtytvvcAAAABwEAAA8AAABkcnMvZG93&#10;bnJldi54bWxMj0FLw0AQhe+C/2EZwZvdJGopMZsigoeCIKn5AdvdaRLMzsbsJo3+eqde7GWY4T3e&#10;fK/YLq4XM46h86QgXSUgkIy3HTUK6o/Xuw2IEDVZ3XtCBd8YYFteXxU6t/5EFc772AgOoZBrBW2M&#10;Qy5lMC06HVZ+QGLt6EenI59jI+2oTxzuepklyVo63RF/aPWALy2az/3kFCTT+3xfH9OqMibLdmFn&#10;fuqvN6Vub5bnJxARl/hvhjM+o0PJTAc/kQ2i5wz2/c2zlq4z7nHg7TF52IAsC3nJX/4CAAD//wMA&#10;UEsBAi0AFAAGAAgAAAAhALaDOJL+AAAA4QEAABMAAAAAAAAAAAAAAAAAAAAAAFtDb250ZW50X1R5&#10;cGVzXS54bWxQSwECLQAUAAYACAAAACEAOP0h/9YAAACUAQAACwAAAAAAAAAAAAAAAAAvAQAAX3Jl&#10;bHMvLnJlbHNQSwECLQAUAAYACAAAACEAf1BHN9kCAACFBgAADgAAAAAAAAAAAAAAAAAuAgAAZHJz&#10;L2Uyb0RvYy54bWxQSwECLQAUAAYACAAAACEA23K2+9wAAAAHAQAADwAAAAAAAAAAAAAAAAAzBQAA&#10;ZHJzL2Rvd25yZXYueG1sUEsFBgAAAAAEAAQA8wAAADw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294AF60F" w14:textId="77777777" w:rsidR="0088439A" w:rsidRDefault="0088439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E2AC1F7" w14:textId="5D57029E" w:rsidR="0088439A" w:rsidRDefault="000A5719">
          <w:pPr>
            <w:rPr>
              <w:rFonts w:ascii="Arial" w:hAnsi="Arial" w:cs="Arial"/>
              <w:b/>
              <w:noProof/>
              <w:color w:val="000000" w:themeColor="text1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29EF351B" wp14:editId="7206A328">
                    <wp:simplePos x="0" y="0"/>
                    <wp:positionH relativeFrom="page">
                      <wp:posOffset>3446780</wp:posOffset>
                    </wp:positionH>
                    <wp:positionV relativeFrom="page">
                      <wp:posOffset>3612374</wp:posOffset>
                    </wp:positionV>
                    <wp:extent cx="2875915" cy="4112895"/>
                    <wp:effectExtent l="0" t="0" r="3175" b="1905"/>
                    <wp:wrapNone/>
                    <wp:docPr id="467" name="Retâ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411289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E539F" w14:textId="1A1E17FB" w:rsidR="0088439A" w:rsidRPr="002337C8" w:rsidRDefault="0011428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Resumo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Cartilha      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    </w:t>
                                    </w:r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de              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    </w:t>
                                    </w:r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Boas  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  </w:t>
                                    </w:r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Práticas      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   </w:t>
                                    </w:r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da   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   </w:t>
                                    </w:r>
                                    <w:r w:rsidR="0088439A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Advocacia</w:t>
                                    </w:r>
                                    <w:r w:rsidR="002337C8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       </w:t>
                                    </w:r>
                                    <w:r w:rsidR="002337C8" w:rsidRPr="002337C8">
                                      <w:rPr>
                                        <w:smallCap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2017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EF351B" id="Retângulo 467" o:spid="_x0000_s1027" style="position:absolute;margin-left:271.4pt;margin-top:284.45pt;width:226.45pt;height:323.85pt;z-index:25164492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IspQIAAJ4FAAAOAAAAZHJzL2Uyb0RvYy54bWysVM1u2zAMvg/YOwi6r46zJk2DOkXQosOA&#10;oivaDj0rshQbkEVNUmJnj7NX2YuNkmxn7YodhuXgkNLHjz8ieXHZNYrshXU16ILmJxNKhOZQ1npb&#10;0K9PNx8WlDjPdMkUaFHQg3D0cvX+3UVrlmIKFahSWIIk2i1bU9DKe7PMMscr0TB3AkZovJRgG+ZR&#10;tdustKxF9kZl08lknrVgS2OBC+fw9Dpd0lXkl1Jw/0VKJzxRBcXYfPza+N2Eb7a6YMutZaaqeR8G&#10;+4coGlZrdDpSXTPPyM7Wf1A1NbfgQPoTDk0GUtZcxBwwm3zyKpvHihkRc8HiODOWyf0/Wn63v7ek&#10;Lgt6Oj+jRLMGH+lB+J8/9HangIRTrFFr3BKhj+be9ppDMSTcSduEf0yFdLGuh7GuovOE4+F0cTY7&#10;z2eUcLw7zfPp4nwWWLOjubHOfxLQkCAU1OLDxXqy/a3zCTpAgjcHqi5vaqWiEppFXClL9gyf2XfT&#10;nvwFSumA1RCsEmE4yUJmKZco+YMSAaf0g5BYlxB9DCR25NEJ41xon6eripUi+Z5N8Dd4H8KKiUbC&#10;wCzR/8jdEwzIRDJwpyh7fDAVsaFH48nfAkvGo0X0DNqPxk2twb5FoDCr3nPCD0VKpQlV8t2miz0T&#10;keFkA+UB+8hCGjBn+E2ND3nLnL9nFicKZw+3hP+CH6mgLSj0EiUV2O9vnQc8NjreUtLihBbUfdsx&#10;KyhRnzWOQL6YLhZhpl9o9oW2idrH+exsjki9a64AOyTHnWR4FPHUejWI0kLzjAtlHTzjFdMc/Rd0&#10;M4hXPu0OXEhcrNcRhINsmL/Vj4YH6lDp0KpP3TOzpu9nj6NwB8M8s+Wrtk7YYKlhvfMg69jzx8r2&#10;b4BLIDZTv7DClvldj6jjWl39AgAA//8DAFBLAwQUAAYACAAAACEAepD67OIAAAAMAQAADwAAAGRy&#10;cy9kb3ducmV2LnhtbEyPQU7DMBBF90jcwRokNog6iXBoQpwKoSKxoIsUDuDaJgnE4xC7bejpma5g&#10;N6N5+vN+tZrdwA52Cr1HCekiAWZRe9NjK+H97fl2CSxEhUYNHq2EHxtgVV9eVKo0/oiNPWxjyygE&#10;Q6kkdDGOJedBd9apsPCjRbp9+MmpSOvUcjOpI4W7gWdJknOneqQPnRrtU2f113bvJOiX5vX75lMb&#10;IXgQ601zStebk5TXV/PjA7Bo5/gHw1mf1KEmp53fowlskCDuMlKPNOTLAhgRRSHuge0IzdI8B15X&#10;/H+J+hcAAP//AwBQSwECLQAUAAYACAAAACEAtoM4kv4AAADhAQAAEwAAAAAAAAAAAAAAAAAAAAAA&#10;W0NvbnRlbnRfVHlwZXNdLnhtbFBLAQItABQABgAIAAAAIQA4/SH/1gAAAJQBAAALAAAAAAAAAAAA&#10;AAAAAC8BAABfcmVscy8ucmVsc1BLAQItABQABgAIAAAAIQAyv2IspQIAAJ4FAAAOAAAAAAAAAAAA&#10;AAAAAC4CAABkcnMvZTJvRG9jLnhtbFBLAQItABQABgAIAAAAIQB6kPrs4gAAAAwBAAAPAAAAAAAA&#10;AAAAAAAAAP8EAABkcnMvZG93bnJldi54bWxQSwUGAAAAAAQABADzAAAADgYAAAAA&#10;" fillcolor="#44546a [3215]" stroked="f" strokeweight="1pt">
                    <v:textbox inset="14.4pt,14.4pt,14.4pt,28.8pt">
                      <w:txbxContent>
                        <w:p w14:paraId="3BCE539F" w14:textId="1A1E17FB" w:rsidR="0088439A" w:rsidRPr="002337C8" w:rsidRDefault="008C548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  <w:alias w:val="Resumo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Cartilha      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</w:t>
                              </w:r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de              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</w:t>
                              </w:r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Boas  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</w:t>
                              </w:r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Práticas      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</w:t>
                              </w:r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da   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</w:t>
                              </w:r>
                              <w:r w:rsidR="0088439A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Advocacia</w:t>
                              </w:r>
                              <w:r w:rsidR="002337C8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</w:t>
                              </w:r>
                              <w:r w:rsidR="002337C8" w:rsidRPr="002337C8">
                                <w:rPr>
                                  <w:small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2017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35712" behindDoc="0" locked="0" layoutInCell="1" allowOverlap="1" wp14:anchorId="0113A431" wp14:editId="04101960">
                    <wp:simplePos x="0" y="0"/>
                    <wp:positionH relativeFrom="page">
                      <wp:posOffset>2235200</wp:posOffset>
                    </wp:positionH>
                    <wp:positionV relativeFrom="page">
                      <wp:posOffset>3298190</wp:posOffset>
                    </wp:positionV>
                    <wp:extent cx="3108960" cy="6818630"/>
                    <wp:effectExtent l="0" t="0" r="24130" b="20320"/>
                    <wp:wrapNone/>
                    <wp:docPr id="468" name="Retâ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6818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BF0537" id="Retângulo 468" o:spid="_x0000_s1026" style="position:absolute;margin-left:176pt;margin-top:259.7pt;width:244.8pt;height:536.9pt;z-index:251635712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l6sgIAAOAFAAAOAAAAZHJzL2Uyb0RvYy54bWysVM1u2zAMvg/YOwi6r7bTJE2DOkXQosOA&#10;bi3aDj0rshQbkEVNUuJkj7NX2YuNkn+aZsUGDMvBEUXyI/mJ5MXlrlZkK6yrQOc0O0kpEZpDUel1&#10;Tr8+3XyYUeI80wVToEVO98LRy8X7dxeNmYsRlKAKYQmCaDdvTE5L7808SRwvRc3cCRihUSnB1syj&#10;aNdJYVmD6LVKRmk6TRqwhbHAhXN4e90q6SLiSym4v5PSCU9UTjE3H782flfhmywu2HxtmSkr3qXB&#10;/iGLmlUagw5Q18wzsrHVb1B1xS04kP6EQ52AlBUXsQasJkuPqnksmRGxFiTHmYEm9/9g+ZftvSVV&#10;kdPxFJ9Ksxof6UH4nz/0eqOAhFvkqDFujqaP5t52ksNjKHgnbR3+sRSyi7zuB17FzhOOl6dZOjuf&#10;Iv0cddNZNpueRuaTF3djnf8ooCbhkFOLDxf5ZNtb5zEkmvYmIZoDVRU3lVJRCM0irpQlW4bPvFpn&#10;IWX0eGWlNGmwQyezs0lEfqWM/XYIMYo2alN/hqKFnaT464H7iMdhMKjSeBn4ahmKJ79XImSq9IOQ&#10;yDZy0gY4iss4F9pnbX4lK8TfQkfAgCyRiwG7A+iTbEF67Jaazj64ijgmg3PaRv+T8+ARI4P2g3Nd&#10;abBvASisqovc2vcktdQEllZQ7LEXLbRD6gy/qbAZbpnz98ziVGID4abxd/iRCvAxoTtRUoL9/tZ9&#10;sMdhQS0lDU55Tt23DbOCEvVJ4xidZ+NxWAtRGE/ORijYQ83qUKM39RVgh2W40wyPx2DvVX+UFupn&#10;XEjLEBVVTHOMnVPubS9c+Xb74ErjYrmMZrgKDPO3+tHwAB5YDc3+tHtm1nQT4XGYvkC/Edj8aDBa&#10;2+CpYbnxIKs4NS+8dnzjGok92628sKcO5Wj1spgXvwAAAP//AwBQSwMEFAAGAAgAAAAhACZWn6Ph&#10;AAAADAEAAA8AAABkcnMvZG93bnJldi54bWxMj8tugzAQRfeV+g/WVOquMRCIEoqJ+sqyUZvkAxw8&#10;ARQ8ptgh9O87XbXL0Rzde26xnmwnRhx860hBPItAIFXOtFQrOOw3D0sQPmgyunOECr7Rw7q8vSl0&#10;btyVPnHchVpwCPlcK2hC6HMpfdWg1X7meiT+ndxgdeBzqKUZ9JXDbSeTKFpIq1vihkb3+NJgdd5d&#10;rIKvffuxyeT2ebRRen6Pu8Opfn1T6v5uenoEEXAKfzD86rM6lOx0dBcyXnQK5lnCW4KCLF6lIJhY&#10;pvECxJHRbDVPQJaF/D+i/AEAAP//AwBQSwECLQAUAAYACAAAACEAtoM4kv4AAADhAQAAEwAAAAAA&#10;AAAAAAAAAAAAAAAAW0NvbnRlbnRfVHlwZXNdLnhtbFBLAQItABQABgAIAAAAIQA4/SH/1gAAAJQB&#10;AAALAAAAAAAAAAAAAAAAAC8BAABfcmVscy8ucmVsc1BLAQItABQABgAIAAAAIQA5Ynl6sgIAAOAF&#10;AAAOAAAAAAAAAAAAAAAAAC4CAABkcnMvZTJvRG9jLnhtbFBLAQItABQABgAIAAAAIQAmVp+j4QAA&#10;AAw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00" w:themeColor="text1"/>
              <w:lang w:eastAsia="pt-BR"/>
            </w:rPr>
            <w:drawing>
              <wp:anchor distT="0" distB="0" distL="114300" distR="114300" simplePos="0" relativeHeight="251687936" behindDoc="0" locked="0" layoutInCell="1" allowOverlap="1" wp14:anchorId="5619FADD" wp14:editId="1F1858B7">
                <wp:simplePos x="0" y="0"/>
                <wp:positionH relativeFrom="column">
                  <wp:posOffset>1976120</wp:posOffset>
                </wp:positionH>
                <wp:positionV relativeFrom="paragraph">
                  <wp:posOffset>6813550</wp:posOffset>
                </wp:positionV>
                <wp:extent cx="1343025" cy="1571625"/>
                <wp:effectExtent l="0" t="0" r="9525" b="9525"/>
                <wp:wrapThrough wrapText="bothSides">
                  <wp:wrapPolygon edited="0">
                    <wp:start x="0" y="0"/>
                    <wp:lineTo x="0" y="21469"/>
                    <wp:lineTo x="21447" y="21469"/>
                    <wp:lineTo x="21447" y="0"/>
                    <wp:lineTo x="0" y="0"/>
                  </wp:wrapPolygon>
                </wp:wrapThrough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E2F412" wp14:editId="6E0C49ED">
                    <wp:simplePos x="0" y="0"/>
                    <wp:positionH relativeFrom="page">
                      <wp:posOffset>2354580</wp:posOffset>
                    </wp:positionH>
                    <wp:positionV relativeFrom="page">
                      <wp:posOffset>9561054</wp:posOffset>
                    </wp:positionV>
                    <wp:extent cx="2875915" cy="118745"/>
                    <wp:effectExtent l="0" t="0" r="3175" b="0"/>
                    <wp:wrapNone/>
                    <wp:docPr id="469" name="Retâ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0B8DE95" id="Retângulo 469" o:spid="_x0000_s1026" style="position:absolute;margin-left:185.4pt;margin-top:752.85pt;width:226.45pt;height:9.35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PshwIAAFYFAAAOAAAAZHJzL2Uyb0RvYy54bWysVM1OGzEQvlfqO1i+l81GCZCIDYqCqCoh&#10;QEDF2Xjt7Eq2x7WdbNLH6av0xTq2N0sEqIeqe/DanplvfvzNXFzutCJb4XwLpqLlyYgSYTjUrVlX&#10;9PvT9ZdzSnxgpmYKjKjoXnh6ufj86aKzczGGBlQtHEEQ4+edrWgTgp0XheeN0MyfgBUGhRKcZgGP&#10;bl3UjnWIrlUxHo1Oiw5cbR1w4T3eXmUhXSR8KQUPd1J6EYiqKMYW0urS+hLXYnHB5mvHbNPyPgz2&#10;D1Fo1hp0OkBdscDIxrXvoHTLHXiQ4YSDLkDKlouUA2ZTjt5k89gwK1IuWBxvhzL5/wfLb7f3jrR1&#10;RSenM0oM0/hIDyL8/mXWGwUk3mKNOuvnqPpo711/8riNCe+k0/GPqZBdqut+qKvYBcLxcnx+Np2V&#10;U0o4ysry/GwyjaDFq7V1PnwVoEncVNThu6Vysu2ND1n1oBKdKRNXA9etUlkab4oYZY4r7cJeiaz9&#10;ICTmGCNJqIldYqUc2TLkBeNcmFBmUcNqka+nI/z6OAeLFLUyCBiRJfofsHuAyNz32DnKXj+aikTO&#10;wXj0t8Cy8WCRPIMJg7FuDbiPABRm1XvO+oci5dLEKr1AvUcGOMit4S2/bvENbpgP98xhL2DXYH+H&#10;O1ykgq6i0O8oacD9/Og+6iNFUUpJh71VUf9jw5ygRH0zSN5ZOZnEZkyHyfRsjAd3LHk5lpiNXgE+&#10;U4mTxPK0jfpBHbbSgX7GMbCMXlHEDEffFeXBHQ6rkHseBwkXy2VSwwa0LNyYR8sjeKxq5NjT7pk5&#10;2xMxIIVv4dCHbP6Gj1k3WhpYbgLINpH1ta59vbF5E3H6QROnw/E5ab2Ow8UfAAAA//8DAFBLAwQU&#10;AAYACAAAACEAfwIhNeMAAAANAQAADwAAAGRycy9kb3ducmV2LnhtbEyPS0/DMBCE70j8B2uRuCBq&#10;N31FIU6FQFx6QGp5SNzcZEmixOs0dprw79me4La7M5r9Jt1OthVn7H3tSMN8pkAg5a6oqdTw/vZy&#10;H4PwwVBhWkeo4Qc9bLPrq9QkhRtpj+dDKAWHkE+MhiqELpHS5xVa42euQ2Lt2/XWBF77Uha9GTnc&#10;tjJSai2tqYk/VKbDpwrz5jBYDY09fX261914F88/ds36efCncdD69mZ6fAARcAp/ZrjgMzpkzHR0&#10;AxVetBoWG8XogYWVWm1AsCWOFjwcL6douQSZpfJ/i+wXAAD//wMAUEsBAi0AFAAGAAgAAAAhALaD&#10;OJL+AAAA4QEAABMAAAAAAAAAAAAAAAAAAAAAAFtDb250ZW50X1R5cGVzXS54bWxQSwECLQAUAAYA&#10;CAAAACEAOP0h/9YAAACUAQAACwAAAAAAAAAAAAAAAAAvAQAAX3JlbHMvLnJlbHNQSwECLQAUAAYA&#10;CAAAACEAQ9TT7IcCAABWBQAADgAAAAAAAAAAAAAAAAAuAgAAZHJzL2Uyb0RvYy54bWxQSwECLQAU&#10;AAYACAAAACEAfwIhNeMAAAANAQAADwAAAAAAAAAAAAAAAADhBAAAZHJzL2Rvd25yZXYueG1sUEsF&#10;BgAAAAAEAAQA8wAAAPE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 w:rsidR="0088439A">
            <w:rPr>
              <w:rFonts w:ascii="Arial" w:hAnsi="Arial" w:cs="Arial"/>
              <w:b/>
              <w:noProof/>
              <w:color w:val="000000" w:themeColor="text1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2412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27DBED" w14:textId="747B6DA8" w:rsidR="0088439A" w:rsidRDefault="0088439A" w:rsidP="0088439A">
          <w:pPr>
            <w:pStyle w:val="CabealhodoSumrio"/>
            <w:spacing w:before="0" w:line="480" w:lineRule="auto"/>
            <w:jc w:val="center"/>
          </w:pPr>
          <w:r>
            <w:t>Sumário</w:t>
          </w:r>
        </w:p>
        <w:p w14:paraId="1D0EFB53" w14:textId="6B3EF5D1" w:rsidR="0088439A" w:rsidRDefault="0088439A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834893" w:history="1">
            <w:r w:rsidRPr="008132C1">
              <w:rPr>
                <w:rStyle w:val="Hyperlink"/>
                <w:noProof/>
              </w:rPr>
              <w:t>1ª Recomendação – Comunicação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_Toc511834893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C5AA5" w14:textId="4DDB9C6A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4" w:history="1">
            <w:r w:rsidR="0088439A" w:rsidRPr="008132C1">
              <w:rPr>
                <w:rStyle w:val="Hyperlink"/>
                <w:noProof/>
              </w:rPr>
              <w:t>2ª Recomendação – Equidade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_Toc511834894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2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54BE4E52" w14:textId="7DF91DE6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5" w:history="1">
            <w:r w:rsidR="0088439A" w:rsidRPr="008132C1">
              <w:rPr>
                <w:rStyle w:val="Hyperlink"/>
                <w:noProof/>
              </w:rPr>
              <w:t>3ª Recomendação – Demonstração Eficiente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_Toc511834895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2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23CF8C96" w14:textId="171314CE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6" w:history="1">
            <w:r w:rsidR="0088439A" w:rsidRPr="008132C1">
              <w:rPr>
                <w:rStyle w:val="Hyperlink"/>
                <w:noProof/>
              </w:rPr>
              <w:t>4ª Recomendação – Solução de Conflitos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_Toc511834896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2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6C512670" w14:textId="7B08668B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7" w:history="1">
            <w:r w:rsidR="0088439A" w:rsidRPr="008132C1">
              <w:rPr>
                <w:rStyle w:val="Hyperlink"/>
                <w:noProof/>
              </w:rPr>
              <w:t>5ª Recomendação – Estatuto ou Regimento Interno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_Toc511834897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3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003C8FA0" w14:textId="64F2D1C5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8" w:history="1">
            <w:r w:rsidR="0088439A" w:rsidRPr="008132C1">
              <w:rPr>
                <w:rStyle w:val="Hyperlink"/>
                <w:noProof/>
              </w:rPr>
              <w:t>6ª Recomendação – Estruturas de Compliance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_Toc511834898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3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2E5EA732" w14:textId="3653CB09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899" w:history="1">
            <w:r w:rsidR="0088439A" w:rsidRPr="008132C1">
              <w:rPr>
                <w:rStyle w:val="Hyperlink"/>
                <w:noProof/>
              </w:rPr>
              <w:t>7ª Recomendação – Confidencialidade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_Toc511834899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3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0040FA3E" w14:textId="6E32BE5D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0" w:history="1">
            <w:r w:rsidR="0088439A" w:rsidRPr="008132C1">
              <w:rPr>
                <w:rStyle w:val="Hyperlink"/>
                <w:noProof/>
              </w:rPr>
              <w:t>8ª Recomendação – Conduta e Ética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_Toc511834900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3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57CCCC8D" w14:textId="078C364A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1" w:history="1">
            <w:r w:rsidR="0088439A" w:rsidRPr="008132C1">
              <w:rPr>
                <w:rStyle w:val="Hyperlink"/>
                <w:noProof/>
              </w:rPr>
              <w:t>9ª Recomendação–Procedimento Operacional Padrão e Políticas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_Toc511834901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3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66D0279F" w14:textId="705E185F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2" w:history="1">
            <w:r w:rsidR="0088439A" w:rsidRPr="008132C1">
              <w:rPr>
                <w:rStyle w:val="Hyperlink"/>
                <w:noProof/>
              </w:rPr>
              <w:t>10ª Recomendação – Atas e Formalização de Reuniões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_Toc511834902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4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5A8CE44A" w14:textId="58050C3B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3" w:history="1">
            <w:r w:rsidR="0088439A" w:rsidRPr="008132C1">
              <w:rPr>
                <w:rStyle w:val="Hyperlink"/>
                <w:noProof/>
              </w:rPr>
              <w:t>11ª Recomendação – Grupos de Estudo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_Toc511834903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4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6A1EC971" w14:textId="69B7604F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4" w:history="1">
            <w:r w:rsidR="0088439A" w:rsidRPr="008132C1">
              <w:rPr>
                <w:rStyle w:val="Hyperlink"/>
                <w:noProof/>
              </w:rPr>
              <w:t>12ª Recomendação – Diretriz de Honorários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_Toc511834904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4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3A22D6BB" w14:textId="0131D602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5" w:history="1">
            <w:r w:rsidR="0088439A" w:rsidRPr="008132C1">
              <w:rPr>
                <w:rStyle w:val="Hyperlink"/>
                <w:noProof/>
              </w:rPr>
              <w:t>13ª Recomendação – Desenvolvimento Intelectual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_Toc511834905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4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6594A63D" w14:textId="31601ED4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6" w:history="1">
            <w:r w:rsidR="0088439A" w:rsidRPr="008132C1">
              <w:rPr>
                <w:rStyle w:val="Hyperlink"/>
                <w:noProof/>
              </w:rPr>
              <w:t>14ª Recomendação – Trajetória Profissional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_Toc511834906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4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12BA57FE" w14:textId="0B452A8C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7" w:history="1">
            <w:r w:rsidR="0088439A" w:rsidRPr="008132C1">
              <w:rPr>
                <w:rStyle w:val="Hyperlink"/>
                <w:noProof/>
              </w:rPr>
              <w:t>15ª Recomendação – Gestão da Informação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_Toc511834907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5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11CE58FC" w14:textId="45661324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8" w:history="1">
            <w:r w:rsidR="0088439A" w:rsidRPr="008132C1">
              <w:rPr>
                <w:rStyle w:val="Hyperlink"/>
                <w:noProof/>
              </w:rPr>
              <w:t>16ª Recomendação – Inovação Tecnológica e Renovação Constante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_Toc511834908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5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34386762" w14:textId="56325FD3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09" w:history="1">
            <w:r w:rsidR="0088439A" w:rsidRPr="008132C1">
              <w:rPr>
                <w:rStyle w:val="Hyperlink"/>
                <w:noProof/>
              </w:rPr>
              <w:t>17ª Recomendação – Armazenamento de Atos Societários e Procurações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_Toc511834909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5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72E2D80A" w14:textId="5F6C63C1" w:rsidR="0088439A" w:rsidRDefault="00114281" w:rsidP="0088439A">
          <w:pPr>
            <w:pStyle w:val="Sumrio1"/>
            <w:tabs>
              <w:tab w:val="right" w:leader="dot" w:pos="8494"/>
            </w:tabs>
            <w:spacing w:after="0" w:line="480" w:lineRule="auto"/>
            <w:rPr>
              <w:noProof/>
            </w:rPr>
          </w:pPr>
          <w:hyperlink w:anchor="_Toc511834910" w:history="1">
            <w:r w:rsidR="0088439A" w:rsidRPr="008132C1">
              <w:rPr>
                <w:rStyle w:val="Hyperlink"/>
                <w:noProof/>
              </w:rPr>
              <w:t>18ª Recomendação – Adoção de um software de Gestão</w:t>
            </w:r>
            <w:r w:rsidR="0088439A">
              <w:rPr>
                <w:noProof/>
                <w:webHidden/>
              </w:rPr>
              <w:tab/>
            </w:r>
            <w:r w:rsidR="0088439A">
              <w:rPr>
                <w:noProof/>
                <w:webHidden/>
              </w:rPr>
              <w:fldChar w:fldCharType="begin"/>
            </w:r>
            <w:r w:rsidR="0088439A">
              <w:rPr>
                <w:noProof/>
                <w:webHidden/>
              </w:rPr>
              <w:instrText xml:space="preserve"> PAGEREF _Toc511834910 \h </w:instrText>
            </w:r>
            <w:r w:rsidR="0088439A">
              <w:rPr>
                <w:noProof/>
                <w:webHidden/>
              </w:rPr>
            </w:r>
            <w:r w:rsidR="0088439A">
              <w:rPr>
                <w:noProof/>
                <w:webHidden/>
              </w:rPr>
              <w:fldChar w:fldCharType="separate"/>
            </w:r>
            <w:r w:rsidR="0088439A">
              <w:rPr>
                <w:noProof/>
                <w:webHidden/>
              </w:rPr>
              <w:t>5</w:t>
            </w:r>
            <w:r w:rsidR="0088439A">
              <w:rPr>
                <w:noProof/>
                <w:webHidden/>
              </w:rPr>
              <w:fldChar w:fldCharType="end"/>
            </w:r>
          </w:hyperlink>
        </w:p>
        <w:p w14:paraId="632CDFBF" w14:textId="5C3BC771" w:rsidR="0088439A" w:rsidRDefault="0088439A" w:rsidP="0088439A">
          <w:pPr>
            <w:spacing w:after="0"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2E457920" w14:textId="77777777" w:rsidR="008F44BD" w:rsidRPr="00CF3CE3" w:rsidRDefault="008F44BD" w:rsidP="0088439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8C5A4E6" w14:textId="20B2B771" w:rsidR="0088439A" w:rsidRDefault="0088439A">
      <w:r>
        <w:br w:type="page"/>
      </w:r>
    </w:p>
    <w:p w14:paraId="50A64FD2" w14:textId="71AC99B7" w:rsidR="0049202D" w:rsidRDefault="0054477A" w:rsidP="0088439A">
      <w:pPr>
        <w:pStyle w:val="Ttulo1"/>
      </w:pPr>
      <w:bookmarkStart w:id="1" w:name="_Toc511834893"/>
      <w:r w:rsidRPr="00CF3CE3">
        <w:lastRenderedPageBreak/>
        <w:t xml:space="preserve">1ª Recomendação </w:t>
      </w:r>
      <w:r w:rsidR="0049202D" w:rsidRPr="00CF3CE3">
        <w:t>–</w:t>
      </w:r>
      <w:r w:rsidR="002D173F" w:rsidRPr="00CF3CE3">
        <w:t xml:space="preserve"> </w:t>
      </w:r>
      <w:r w:rsidR="0049202D" w:rsidRPr="00CF3CE3">
        <w:t>Comunicação</w:t>
      </w:r>
      <w:bookmarkEnd w:id="1"/>
    </w:p>
    <w:p w14:paraId="0591EA29" w14:textId="77777777" w:rsidR="002337C8" w:rsidRPr="002337C8" w:rsidRDefault="002337C8" w:rsidP="002337C8"/>
    <w:p w14:paraId="656494C7" w14:textId="7D10F751" w:rsidR="00D733A3" w:rsidRPr="00CF3CE3" w:rsidRDefault="0049202D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 xml:space="preserve">A comunicação entre </w:t>
      </w:r>
      <w:r w:rsidR="0054477A" w:rsidRPr="00CF3CE3">
        <w:rPr>
          <w:rFonts w:ascii="Arial" w:hAnsi="Arial" w:cs="Arial"/>
          <w:color w:val="000000" w:themeColor="text1"/>
        </w:rPr>
        <w:t>os colaboradores, demais áreas e terceiros</w:t>
      </w:r>
      <w:r w:rsidRPr="00CF3CE3">
        <w:rPr>
          <w:rFonts w:ascii="Arial" w:hAnsi="Arial" w:cs="Arial"/>
          <w:color w:val="000000" w:themeColor="text1"/>
        </w:rPr>
        <w:t>/parceiros</w:t>
      </w:r>
      <w:r w:rsidR="0054477A" w:rsidRPr="00CF3CE3">
        <w:rPr>
          <w:rFonts w:ascii="Arial" w:hAnsi="Arial" w:cs="Arial"/>
          <w:color w:val="000000" w:themeColor="text1"/>
        </w:rPr>
        <w:t xml:space="preserve"> através de informações claras, precisas e em formato inteligível, afastando-se da prolixidade para que haja compreensão clara ao cliente.</w:t>
      </w:r>
      <w:r w:rsidR="00CF3CE3" w:rsidRPr="00CF3CE3">
        <w:rPr>
          <w:rFonts w:ascii="Arial" w:hAnsi="Arial" w:cs="Arial"/>
          <w:color w:val="000000" w:themeColor="text1"/>
        </w:rPr>
        <w:t xml:space="preserve"> </w:t>
      </w:r>
      <w:r w:rsidR="00D733A3" w:rsidRPr="00CF3CE3">
        <w:rPr>
          <w:rFonts w:ascii="Arial" w:hAnsi="Arial" w:cs="Arial"/>
          <w:color w:val="000000" w:themeColor="text1"/>
        </w:rPr>
        <w:t>A</w:t>
      </w:r>
      <w:r w:rsidR="000F21F9" w:rsidRPr="00CF3CE3">
        <w:rPr>
          <w:rFonts w:ascii="Arial" w:hAnsi="Arial" w:cs="Arial"/>
          <w:color w:val="000000" w:themeColor="text1"/>
        </w:rPr>
        <w:t>lém disso</w:t>
      </w:r>
      <w:r w:rsidR="00D733A3" w:rsidRPr="00CF3CE3">
        <w:rPr>
          <w:rFonts w:ascii="Arial" w:hAnsi="Arial" w:cs="Arial"/>
          <w:color w:val="000000" w:themeColor="text1"/>
        </w:rPr>
        <w:t xml:space="preserve">, o </w:t>
      </w:r>
      <w:r w:rsidR="000F21F9" w:rsidRPr="00CF3CE3">
        <w:rPr>
          <w:rFonts w:ascii="Arial" w:hAnsi="Arial" w:cs="Arial"/>
          <w:color w:val="000000" w:themeColor="text1"/>
        </w:rPr>
        <w:t>profissional</w:t>
      </w:r>
      <w:r w:rsidR="00D733A3" w:rsidRPr="00CF3CE3">
        <w:rPr>
          <w:rFonts w:ascii="Arial" w:hAnsi="Arial" w:cs="Arial"/>
          <w:color w:val="000000" w:themeColor="text1"/>
        </w:rPr>
        <w:t xml:space="preserve"> deve concentrar esforços para conciliar a técnica jurídica e a prática d</w:t>
      </w:r>
      <w:r w:rsidR="000F21F9" w:rsidRPr="00CF3CE3">
        <w:rPr>
          <w:rFonts w:ascii="Arial" w:hAnsi="Arial" w:cs="Arial"/>
          <w:color w:val="000000" w:themeColor="text1"/>
        </w:rPr>
        <w:t>o cliente</w:t>
      </w:r>
      <w:r w:rsidR="00D733A3" w:rsidRPr="00CF3CE3">
        <w:rPr>
          <w:rFonts w:ascii="Arial" w:hAnsi="Arial" w:cs="Arial"/>
          <w:color w:val="000000" w:themeColor="text1"/>
        </w:rPr>
        <w:t>, fazendo com que as orientações emanadas contenham</w:t>
      </w:r>
      <w:r w:rsidR="009530C4" w:rsidRPr="00CF3CE3">
        <w:rPr>
          <w:rFonts w:ascii="Arial" w:hAnsi="Arial" w:cs="Arial"/>
          <w:color w:val="000000" w:themeColor="text1"/>
        </w:rPr>
        <w:t>, além da</w:t>
      </w:r>
      <w:r w:rsidR="00D94BF8" w:rsidRPr="00CF3CE3">
        <w:rPr>
          <w:rFonts w:ascii="Arial" w:hAnsi="Arial" w:cs="Arial"/>
          <w:color w:val="000000" w:themeColor="text1"/>
        </w:rPr>
        <w:t xml:space="preserve"> finalidade de assegurar </w:t>
      </w:r>
      <w:r w:rsidR="009530C4" w:rsidRPr="00CF3CE3">
        <w:rPr>
          <w:rFonts w:ascii="Arial" w:hAnsi="Arial" w:cs="Arial"/>
          <w:color w:val="000000" w:themeColor="text1"/>
        </w:rPr>
        <w:t>jur</w:t>
      </w:r>
      <w:r w:rsidR="00D94BF8" w:rsidRPr="00CF3CE3">
        <w:rPr>
          <w:rFonts w:ascii="Arial" w:hAnsi="Arial" w:cs="Arial"/>
          <w:color w:val="000000" w:themeColor="text1"/>
        </w:rPr>
        <w:t>i</w:t>
      </w:r>
      <w:r w:rsidR="009530C4" w:rsidRPr="00CF3CE3">
        <w:rPr>
          <w:rFonts w:ascii="Arial" w:hAnsi="Arial" w:cs="Arial"/>
          <w:color w:val="000000" w:themeColor="text1"/>
        </w:rPr>
        <w:t>dica</w:t>
      </w:r>
      <w:r w:rsidR="00D94BF8" w:rsidRPr="00CF3CE3">
        <w:rPr>
          <w:rFonts w:ascii="Arial" w:hAnsi="Arial" w:cs="Arial"/>
          <w:color w:val="000000" w:themeColor="text1"/>
        </w:rPr>
        <w:t>mente as decisões</w:t>
      </w:r>
      <w:r w:rsidR="009530C4" w:rsidRPr="00CF3CE3">
        <w:rPr>
          <w:rFonts w:ascii="Arial" w:hAnsi="Arial" w:cs="Arial"/>
          <w:color w:val="000000" w:themeColor="text1"/>
        </w:rPr>
        <w:t>,</w:t>
      </w:r>
      <w:r w:rsidR="00D733A3" w:rsidRPr="00CF3CE3">
        <w:rPr>
          <w:rFonts w:ascii="Arial" w:hAnsi="Arial" w:cs="Arial"/>
          <w:color w:val="000000" w:themeColor="text1"/>
        </w:rPr>
        <w:t xml:space="preserve"> a</w:t>
      </w:r>
      <w:r w:rsidR="00D94BF8" w:rsidRPr="00CF3CE3">
        <w:rPr>
          <w:rFonts w:ascii="Arial" w:hAnsi="Arial" w:cs="Arial"/>
          <w:color w:val="000000" w:themeColor="text1"/>
        </w:rPr>
        <w:t xml:space="preserve"> </w:t>
      </w:r>
      <w:r w:rsidR="00D733A3" w:rsidRPr="00CF3CE3">
        <w:rPr>
          <w:rFonts w:ascii="Arial" w:hAnsi="Arial" w:cs="Arial"/>
          <w:color w:val="000000" w:themeColor="text1"/>
        </w:rPr>
        <w:t xml:space="preserve">de beneficiar os negócios. </w:t>
      </w:r>
    </w:p>
    <w:p w14:paraId="1E62D6CC" w14:textId="3442AC08" w:rsidR="00204D66" w:rsidRPr="00CF3CE3" w:rsidRDefault="00204D66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5EAC8C4E" w14:textId="5529632C" w:rsidR="00C94EF9" w:rsidRDefault="0054477A" w:rsidP="0088439A">
      <w:pPr>
        <w:pStyle w:val="Ttulo1"/>
      </w:pPr>
      <w:bookmarkStart w:id="2" w:name="_Toc511834894"/>
      <w:r w:rsidRPr="00CF3CE3">
        <w:t xml:space="preserve">2ª Recomendação </w:t>
      </w:r>
      <w:r w:rsidR="00C94EF9" w:rsidRPr="00CF3CE3">
        <w:t>–</w:t>
      </w:r>
      <w:r w:rsidRPr="00CF3CE3">
        <w:t xml:space="preserve"> Equidade</w:t>
      </w:r>
      <w:bookmarkEnd w:id="2"/>
    </w:p>
    <w:p w14:paraId="2FCE7F01" w14:textId="77777777" w:rsidR="002337C8" w:rsidRPr="002337C8" w:rsidRDefault="002337C8" w:rsidP="002337C8"/>
    <w:p w14:paraId="68742C54" w14:textId="5C03FF01" w:rsidR="00204D66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Adoção de postura de igualdade na prestação de serviços aos clientes, sejam eles internos ou externos para criação de ambiente que fomente o diálogo aberto e que permita a participação dos clientes através de sugestões e contribuições.</w:t>
      </w:r>
    </w:p>
    <w:p w14:paraId="3FCFFE91" w14:textId="77777777" w:rsidR="00CF3F7D" w:rsidRPr="00CF3CE3" w:rsidRDefault="00CF3F7D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4CB3875" w14:textId="4638633D" w:rsidR="00C94EF9" w:rsidRDefault="0054477A" w:rsidP="0088439A">
      <w:pPr>
        <w:pStyle w:val="Ttulo1"/>
      </w:pPr>
      <w:bookmarkStart w:id="3" w:name="_Toc511834895"/>
      <w:r w:rsidRPr="00CF3CE3">
        <w:t>3ª Recomendação –</w:t>
      </w:r>
      <w:r w:rsidR="00CF3CE3" w:rsidRPr="00CF3CE3">
        <w:t xml:space="preserve"> </w:t>
      </w:r>
      <w:r w:rsidR="00590593" w:rsidRPr="00CF3CE3">
        <w:t>Demonstração Eficiente</w:t>
      </w:r>
      <w:bookmarkEnd w:id="3"/>
    </w:p>
    <w:p w14:paraId="7C43F4FF" w14:textId="77777777" w:rsidR="002337C8" w:rsidRPr="002337C8" w:rsidRDefault="002337C8" w:rsidP="002337C8"/>
    <w:p w14:paraId="4341C881" w14:textId="77777777" w:rsidR="00C94EF9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Relacionada à Transparência, mas com enfoque na demonstração clara e precisa da forma de administração dos recursos dos clientes no exercício da defesa de seus interesses através da emissão de relatórios, solicitações de aprovações prévias e estabelecimento de fácil comunicação com as áreas fiscais, administrativas e financeiras dos mesmos.</w:t>
      </w:r>
    </w:p>
    <w:p w14:paraId="4DB5DB33" w14:textId="3FC12BAB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25E9D5A5" w14:textId="46872637" w:rsidR="00C94EF9" w:rsidRDefault="00593FE2" w:rsidP="0088439A">
      <w:pPr>
        <w:pStyle w:val="Ttulo1"/>
      </w:pPr>
      <w:bookmarkStart w:id="4" w:name="_Toc511834896"/>
      <w:r w:rsidRPr="00CF3CE3">
        <w:t>4</w:t>
      </w:r>
      <w:r w:rsidR="00C94EF9" w:rsidRPr="00CF3CE3">
        <w:t>ª Recomendação – Solução de Conflitos</w:t>
      </w:r>
      <w:bookmarkEnd w:id="4"/>
    </w:p>
    <w:p w14:paraId="49D1EC43" w14:textId="77777777" w:rsidR="002337C8" w:rsidRPr="002337C8" w:rsidRDefault="002337C8" w:rsidP="002337C8"/>
    <w:p w14:paraId="16B5D949" w14:textId="4DDC980C" w:rsidR="008F44BD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Pro-atividade na proposição de soluções alternativas de controvérsias</w:t>
      </w:r>
      <w:r w:rsidR="000D75DD" w:rsidRPr="00CF3CE3">
        <w:rPr>
          <w:rFonts w:ascii="Arial" w:hAnsi="Arial" w:cs="Arial"/>
          <w:color w:val="000000" w:themeColor="text1"/>
        </w:rPr>
        <w:t>, como a arbitragem,</w:t>
      </w:r>
      <w:r w:rsidR="008B5556" w:rsidRPr="00CF3CE3">
        <w:rPr>
          <w:rFonts w:ascii="Arial" w:hAnsi="Arial" w:cs="Arial"/>
          <w:color w:val="000000" w:themeColor="text1"/>
        </w:rPr>
        <w:t xml:space="preserve"> a</w:t>
      </w:r>
      <w:r w:rsidR="000D75DD" w:rsidRPr="00CF3CE3">
        <w:rPr>
          <w:rFonts w:ascii="Arial" w:hAnsi="Arial" w:cs="Arial"/>
          <w:color w:val="000000" w:themeColor="text1"/>
        </w:rPr>
        <w:t xml:space="preserve"> mediação ou a própria intervenção negocial,</w:t>
      </w:r>
      <w:r w:rsidRPr="00CF3CE3">
        <w:rPr>
          <w:rFonts w:ascii="Arial" w:hAnsi="Arial" w:cs="Arial"/>
          <w:color w:val="000000" w:themeColor="text1"/>
        </w:rPr>
        <w:t xml:space="preserve"> além da judicialização das questões trazidas pelos clientes visando a aplicação que melhor atenda às necessidades dos clientes adotando-se, além das premissas técnico-jurídicas, a análise econômica do direito.</w:t>
      </w:r>
    </w:p>
    <w:p w14:paraId="1F77533E" w14:textId="77777777" w:rsidR="00204D66" w:rsidRPr="00CF3CE3" w:rsidRDefault="00204D66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2AF9807" w14:textId="358F927A" w:rsidR="00C94EF9" w:rsidRDefault="00593FE2" w:rsidP="0088439A">
      <w:pPr>
        <w:pStyle w:val="Ttulo1"/>
      </w:pPr>
      <w:bookmarkStart w:id="5" w:name="_Toc511834897"/>
      <w:r w:rsidRPr="00CF3CE3">
        <w:lastRenderedPageBreak/>
        <w:t>5</w:t>
      </w:r>
      <w:r w:rsidR="0054477A" w:rsidRPr="00CF3CE3">
        <w:t>ª Recomendação – Estatuto ou Regimento Interno</w:t>
      </w:r>
      <w:bookmarkEnd w:id="5"/>
    </w:p>
    <w:p w14:paraId="5FF33141" w14:textId="77777777" w:rsidR="002337C8" w:rsidRPr="002337C8" w:rsidRDefault="002337C8" w:rsidP="002337C8"/>
    <w:p w14:paraId="55684917" w14:textId="3116495C" w:rsidR="00C94EF9" w:rsidRPr="00CF3CE3" w:rsidRDefault="00204D66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 xml:space="preserve">Criação de um </w:t>
      </w:r>
      <w:r w:rsidR="0054477A" w:rsidRPr="00CF3CE3">
        <w:rPr>
          <w:rFonts w:ascii="Arial" w:hAnsi="Arial" w:cs="Arial"/>
          <w:color w:val="000000" w:themeColor="text1"/>
        </w:rPr>
        <w:t xml:space="preserve">documento </w:t>
      </w:r>
      <w:r w:rsidRPr="00CF3CE3">
        <w:rPr>
          <w:rFonts w:ascii="Arial" w:hAnsi="Arial" w:cs="Arial"/>
          <w:color w:val="000000" w:themeColor="text1"/>
        </w:rPr>
        <w:t xml:space="preserve">que </w:t>
      </w:r>
      <w:r w:rsidR="0054477A" w:rsidRPr="00CF3CE3">
        <w:rPr>
          <w:rFonts w:ascii="Arial" w:hAnsi="Arial" w:cs="Arial"/>
          <w:color w:val="000000" w:themeColor="text1"/>
        </w:rPr>
        <w:t>deve conter as normas gerais de funcionamento da áreas e/ou escritório estabelecendo regras de funcionamento e comportamento com enfoque operacional e procedimental, tornando clara a forma de atuação individual e da área/escritório.</w:t>
      </w:r>
    </w:p>
    <w:p w14:paraId="313A633D" w14:textId="0217A9B6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7FDDDC6" w14:textId="1073FCFD" w:rsidR="00C94EF9" w:rsidRDefault="00593FE2" w:rsidP="0088439A">
      <w:pPr>
        <w:pStyle w:val="Ttulo1"/>
      </w:pPr>
      <w:bookmarkStart w:id="6" w:name="_Toc511834898"/>
      <w:r w:rsidRPr="00CF3CE3">
        <w:t xml:space="preserve">6ª </w:t>
      </w:r>
      <w:r w:rsidR="00C94EF9" w:rsidRPr="00CF3CE3">
        <w:t xml:space="preserve">Recomendação – Estruturas de </w:t>
      </w:r>
      <w:r w:rsidR="00C94EF9" w:rsidRPr="002337C8">
        <w:rPr>
          <w:i/>
        </w:rPr>
        <w:t>Compliance</w:t>
      </w:r>
      <w:bookmarkEnd w:id="6"/>
    </w:p>
    <w:p w14:paraId="4CBD2E55" w14:textId="77777777" w:rsidR="002337C8" w:rsidRPr="002337C8" w:rsidRDefault="002337C8" w:rsidP="002337C8"/>
    <w:p w14:paraId="5131BAC3" w14:textId="114A8979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Criação de comitê ou designação de profissional, conforme a estrutura do Escritório ou Empresa, que interaja com as demais áreas para estabelecer mecanismos internos em prol da ética e da integridade nos negócios e em todas as atitudes</w:t>
      </w:r>
      <w:r w:rsidR="00CF3F7D" w:rsidRPr="00CF3CE3">
        <w:rPr>
          <w:rFonts w:ascii="Arial" w:hAnsi="Arial" w:cs="Arial"/>
          <w:color w:val="000000" w:themeColor="text1"/>
        </w:rPr>
        <w:t xml:space="preserve"> do dia a dia, compreendendo a </w:t>
      </w:r>
      <w:r w:rsidRPr="00CF3CE3">
        <w:rPr>
          <w:rFonts w:ascii="Arial" w:hAnsi="Arial" w:cs="Arial"/>
          <w:color w:val="000000" w:themeColor="text1"/>
        </w:rPr>
        <w:t>implantação de mecanismos de prevenção e detecção de fraudes, identificação e mitigação de riscos, comunicação, treinamento e gestão de um canal de conduta.</w:t>
      </w:r>
    </w:p>
    <w:p w14:paraId="7621E5BD" w14:textId="0398F9FC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D778776" w14:textId="038F615E" w:rsidR="00C94EF9" w:rsidRDefault="00593FE2" w:rsidP="0088439A">
      <w:pPr>
        <w:pStyle w:val="Ttulo1"/>
      </w:pPr>
      <w:bookmarkStart w:id="7" w:name="_Toc511834899"/>
      <w:r w:rsidRPr="00CF3CE3">
        <w:t xml:space="preserve">7ª </w:t>
      </w:r>
      <w:r w:rsidR="00C94EF9" w:rsidRPr="00CF3CE3">
        <w:t>Recomendação – Confidencialidade</w:t>
      </w:r>
      <w:bookmarkEnd w:id="7"/>
    </w:p>
    <w:p w14:paraId="2E96F757" w14:textId="77777777" w:rsidR="002337C8" w:rsidRPr="002337C8" w:rsidRDefault="002337C8" w:rsidP="002337C8"/>
    <w:p w14:paraId="3D9480D3" w14:textId="77777777" w:rsidR="008F44BD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Disponibilização de regras claras sobre o grau de confidencialidade e forma de disponibilização de informações interna e externa do Escritório ou Empresa com previsão de penalidades.</w:t>
      </w:r>
    </w:p>
    <w:p w14:paraId="33A95E72" w14:textId="77777777" w:rsidR="00204D66" w:rsidRPr="00CF3CE3" w:rsidRDefault="00204D66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1043EA8B" w14:textId="7F2EEC37" w:rsidR="00C94EF9" w:rsidRDefault="00593FE2" w:rsidP="0088439A">
      <w:pPr>
        <w:pStyle w:val="Ttulo1"/>
      </w:pPr>
      <w:bookmarkStart w:id="8" w:name="_Toc511834900"/>
      <w:r w:rsidRPr="00CF3CE3">
        <w:t xml:space="preserve">8ª </w:t>
      </w:r>
      <w:r w:rsidR="00C94EF9" w:rsidRPr="00CF3CE3">
        <w:t>Recomendação – Conduta e Ética</w:t>
      </w:r>
      <w:bookmarkEnd w:id="8"/>
    </w:p>
    <w:p w14:paraId="4628FC0E" w14:textId="77777777" w:rsidR="002337C8" w:rsidRPr="002337C8" w:rsidRDefault="002337C8" w:rsidP="002337C8"/>
    <w:p w14:paraId="1889930A" w14:textId="3785731E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 xml:space="preserve">Aplicação </w:t>
      </w:r>
      <w:r w:rsidR="00CF3CE3" w:rsidRPr="00CF3CE3">
        <w:rPr>
          <w:rFonts w:ascii="Arial" w:hAnsi="Arial" w:cs="Arial"/>
          <w:color w:val="000000" w:themeColor="text1"/>
        </w:rPr>
        <w:t>em conjunto com</w:t>
      </w:r>
      <w:r w:rsidRPr="00CF3CE3">
        <w:rPr>
          <w:rFonts w:ascii="Arial" w:hAnsi="Arial" w:cs="Arial"/>
          <w:color w:val="000000" w:themeColor="text1"/>
        </w:rPr>
        <w:t xml:space="preserve"> o presente documento da Resolução N.º 02/2015 que aprovou o Código de Ética e Disciplina da Ordem dos Advogados do Brasil.</w:t>
      </w:r>
    </w:p>
    <w:p w14:paraId="2467E6B6" w14:textId="788AD99F" w:rsidR="00CF3CE3" w:rsidRDefault="00CF3CE3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1CBAF6A" w14:textId="50A3552C" w:rsidR="002337C8" w:rsidRDefault="002337C8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25074CD5" w14:textId="7CF8520D" w:rsidR="002337C8" w:rsidRDefault="002337C8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5D70C16B" w14:textId="77777777" w:rsidR="002337C8" w:rsidRPr="00CF3CE3" w:rsidRDefault="002337C8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0DAB77A" w14:textId="202DA90D" w:rsidR="00C94EF9" w:rsidRDefault="00593FE2" w:rsidP="0088439A">
      <w:pPr>
        <w:pStyle w:val="Ttulo1"/>
      </w:pPr>
      <w:bookmarkStart w:id="9" w:name="_Toc511834901"/>
      <w:r w:rsidRPr="00CF3CE3">
        <w:lastRenderedPageBreak/>
        <w:t xml:space="preserve">9ª </w:t>
      </w:r>
      <w:r w:rsidR="0054477A" w:rsidRPr="00CF3CE3">
        <w:t>Recomendação–</w:t>
      </w:r>
      <w:r w:rsidR="002D173F" w:rsidRPr="00CF3CE3">
        <w:t>P</w:t>
      </w:r>
      <w:r w:rsidR="00CF3CE3" w:rsidRPr="00CF3CE3">
        <w:t xml:space="preserve">rocedimento </w:t>
      </w:r>
      <w:r w:rsidR="002D173F" w:rsidRPr="00CF3CE3">
        <w:t>O</w:t>
      </w:r>
      <w:r w:rsidR="00CF3CE3" w:rsidRPr="00CF3CE3">
        <w:t>peracional Padrão e Políticas</w:t>
      </w:r>
      <w:bookmarkEnd w:id="9"/>
    </w:p>
    <w:p w14:paraId="12BB0D00" w14:textId="77777777" w:rsidR="002337C8" w:rsidRPr="002337C8" w:rsidRDefault="002337C8" w:rsidP="002337C8"/>
    <w:p w14:paraId="11BDC327" w14:textId="46571411" w:rsidR="00C94EF9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Individualmente e em equipe as funções devem estar bem especificadas e as alçadas bem definidas, sendo disponibilizado para cada posição o respectivo manual de trabalho com especificações de atribuições, recursos disponíveis e alçadas de aprovação.</w:t>
      </w:r>
    </w:p>
    <w:p w14:paraId="15A997E3" w14:textId="77777777" w:rsidR="0088439A" w:rsidRPr="00CF3CE3" w:rsidRDefault="0088439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2B23FFFD" w14:textId="7415F876" w:rsidR="00C94EF9" w:rsidRDefault="00593FE2" w:rsidP="0088439A">
      <w:pPr>
        <w:pStyle w:val="Ttulo1"/>
      </w:pPr>
      <w:bookmarkStart w:id="10" w:name="_Toc511834902"/>
      <w:r w:rsidRPr="00CF3CE3">
        <w:t xml:space="preserve">10ª </w:t>
      </w:r>
      <w:r w:rsidR="00C94EF9" w:rsidRPr="00CF3CE3">
        <w:t>Recomendação – Atas e Formalização de Reuniões</w:t>
      </w:r>
      <w:bookmarkEnd w:id="10"/>
    </w:p>
    <w:p w14:paraId="09E9CB1F" w14:textId="77777777" w:rsidR="002337C8" w:rsidRPr="002337C8" w:rsidRDefault="002337C8" w:rsidP="002337C8"/>
    <w:p w14:paraId="1F2044A9" w14:textId="77777777" w:rsidR="008F44BD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As reuniões devem ser precedidas de pauta com especificação dos interlocutores e materiais que prévia e eventualmente sejam necessários para análise prévia ou para serem trazidos para discussão conjunta, sendo todo registro feito em atas que devem ser numeradas e arquivadas de forma a serem divulgadas aos interessados e arquivadas de forma a serem facilmente disponibilizadas quando necessárias.</w:t>
      </w:r>
    </w:p>
    <w:p w14:paraId="406783F9" w14:textId="77777777" w:rsidR="00CF3CE3" w:rsidRPr="00CF3CE3" w:rsidRDefault="00CF3CE3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33F6C044" w14:textId="2EFAB0C5" w:rsidR="00C94EF9" w:rsidRDefault="00593FE2" w:rsidP="0088439A">
      <w:pPr>
        <w:pStyle w:val="Ttulo1"/>
      </w:pPr>
      <w:bookmarkStart w:id="11" w:name="_Toc511834903"/>
      <w:r w:rsidRPr="00CF3CE3">
        <w:t xml:space="preserve">11ª </w:t>
      </w:r>
      <w:r w:rsidR="0054477A" w:rsidRPr="00CF3CE3">
        <w:t>Recomendação – Grupos de Estudo</w:t>
      </w:r>
      <w:bookmarkEnd w:id="11"/>
    </w:p>
    <w:p w14:paraId="625C3015" w14:textId="77777777" w:rsidR="002337C8" w:rsidRPr="002337C8" w:rsidRDefault="002337C8" w:rsidP="002337C8"/>
    <w:p w14:paraId="1C3AC560" w14:textId="77777777" w:rsidR="008F44BD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Grupos de estudos com reuniões periódicas para livres debates e estudos que poderão evoluir para publicação de materiais internos e externos, devendo ser registrados, arquivados e disponibilizados de forma a possibilitar sua utilização com subsídio em caso concreto.</w:t>
      </w:r>
    </w:p>
    <w:p w14:paraId="15B2B118" w14:textId="5E3EBD53" w:rsidR="00C94EF9" w:rsidRPr="00CF3CE3" w:rsidRDefault="00C94EF9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340A88F" w14:textId="1825070B" w:rsidR="00C94EF9" w:rsidRDefault="00593FE2" w:rsidP="0088439A">
      <w:pPr>
        <w:pStyle w:val="Ttulo1"/>
      </w:pPr>
      <w:bookmarkStart w:id="12" w:name="_Toc511834904"/>
      <w:r w:rsidRPr="00CF3CE3">
        <w:t xml:space="preserve">12ª </w:t>
      </w:r>
      <w:r w:rsidR="0054477A" w:rsidRPr="00CF3CE3">
        <w:t>Recomendação –</w:t>
      </w:r>
      <w:r w:rsidR="00CF3CE3" w:rsidRPr="00CF3CE3">
        <w:t xml:space="preserve"> </w:t>
      </w:r>
      <w:r w:rsidR="00590593" w:rsidRPr="00CF3CE3">
        <w:t xml:space="preserve">Diretriz de </w:t>
      </w:r>
      <w:r w:rsidR="0054477A" w:rsidRPr="00CF3CE3">
        <w:t>Honorários</w:t>
      </w:r>
      <w:bookmarkEnd w:id="12"/>
    </w:p>
    <w:p w14:paraId="5F8BFCE6" w14:textId="77777777" w:rsidR="002337C8" w:rsidRPr="002337C8" w:rsidRDefault="002337C8" w:rsidP="002337C8"/>
    <w:p w14:paraId="628F2A53" w14:textId="77777777" w:rsidR="008F44BD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Clara definição quanto à política de honorários de sucumbência junto aos Administradores do Escritório ou Empresa, recomendando-se o fracionamento e distribuição de percentual dos mesmos entre os colaboradores como política de incentivo e de retenção de talentos sob forma de participação nos lucros ou outro formato que puder ser legitimamente convencionado.</w:t>
      </w:r>
    </w:p>
    <w:p w14:paraId="29578AB9" w14:textId="77777777" w:rsidR="008F44BD" w:rsidRPr="00CF3CE3" w:rsidRDefault="008F44BD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1E719A26" w14:textId="781BF12B" w:rsidR="008F44BD" w:rsidRDefault="00593FE2" w:rsidP="0088439A">
      <w:pPr>
        <w:pStyle w:val="Ttulo1"/>
      </w:pPr>
      <w:bookmarkStart w:id="13" w:name="_Toc511834905"/>
      <w:r w:rsidRPr="00CF3CE3">
        <w:lastRenderedPageBreak/>
        <w:t xml:space="preserve">13ª </w:t>
      </w:r>
      <w:r w:rsidR="0054477A" w:rsidRPr="00CF3CE3">
        <w:t>Recomendação –</w:t>
      </w:r>
      <w:r w:rsidR="00CF3CE3" w:rsidRPr="00CF3CE3">
        <w:t xml:space="preserve"> </w:t>
      </w:r>
      <w:r w:rsidR="002D173F" w:rsidRPr="00CF3CE3">
        <w:t>Desenvolvimento Intelectual</w:t>
      </w:r>
      <w:bookmarkEnd w:id="13"/>
    </w:p>
    <w:p w14:paraId="62FFF3A8" w14:textId="77777777" w:rsidR="002337C8" w:rsidRPr="002337C8" w:rsidRDefault="002337C8" w:rsidP="002337C8"/>
    <w:p w14:paraId="5E31E07B" w14:textId="1BD4B07F" w:rsidR="00CF3CE3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Definição de forma de atendimento das necessidades de aperfeiçoamento intelectual dos colaboradores através de patrocínio de estudos de toda natureza mediante formalização de contrato de concessão do benefício com a possibilidade de estipulação de regras pelo Escritório ou Empresa.</w:t>
      </w:r>
    </w:p>
    <w:p w14:paraId="4983BC52" w14:textId="77777777" w:rsidR="00CF3CE3" w:rsidRPr="00CF3CE3" w:rsidRDefault="00CF3CE3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336D77" w14:textId="0AAAAE73" w:rsidR="008F44BD" w:rsidRDefault="0054477A" w:rsidP="0088439A">
      <w:pPr>
        <w:pStyle w:val="Ttulo1"/>
      </w:pPr>
      <w:bookmarkStart w:id="14" w:name="_Toc511834906"/>
      <w:r w:rsidRPr="00CF3CE3">
        <w:t>14ª Recomendação –</w:t>
      </w:r>
      <w:r w:rsidR="00CF3CE3" w:rsidRPr="00CF3CE3">
        <w:t xml:space="preserve"> </w:t>
      </w:r>
      <w:r w:rsidR="00A17402" w:rsidRPr="00CF3CE3">
        <w:t>Trajetória Profissional</w:t>
      </w:r>
      <w:bookmarkEnd w:id="14"/>
    </w:p>
    <w:p w14:paraId="50F32C5F" w14:textId="77777777" w:rsidR="002337C8" w:rsidRPr="002337C8" w:rsidRDefault="002337C8" w:rsidP="002337C8"/>
    <w:p w14:paraId="5AFB108C" w14:textId="2BBC9415" w:rsidR="008F44BD" w:rsidRPr="00CF3CE3" w:rsidRDefault="0054477A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Aplicação de métodos de avaliação aos colaboradores e disponibilização de feedback</w:t>
      </w:r>
      <w:r w:rsidR="00A17402" w:rsidRPr="00CF3CE3">
        <w:rPr>
          <w:rFonts w:ascii="Arial" w:hAnsi="Arial" w:cs="Arial"/>
          <w:color w:val="000000" w:themeColor="text1"/>
        </w:rPr>
        <w:t xml:space="preserve">s, </w:t>
      </w:r>
      <w:r w:rsidRPr="00CF3CE3">
        <w:rPr>
          <w:rFonts w:ascii="Arial" w:hAnsi="Arial" w:cs="Arial"/>
          <w:color w:val="000000" w:themeColor="text1"/>
        </w:rPr>
        <w:t xml:space="preserve">com o suporte de profissionais </w:t>
      </w:r>
      <w:r w:rsidR="00CF3CE3" w:rsidRPr="00CF3CE3">
        <w:rPr>
          <w:rFonts w:ascii="Arial" w:hAnsi="Arial" w:cs="Arial"/>
          <w:color w:val="000000" w:themeColor="text1"/>
        </w:rPr>
        <w:t>qualificados</w:t>
      </w:r>
      <w:r w:rsidR="00A17402" w:rsidRPr="00CF3CE3">
        <w:rPr>
          <w:rFonts w:ascii="Arial" w:hAnsi="Arial" w:cs="Arial"/>
          <w:color w:val="000000" w:themeColor="text1"/>
        </w:rPr>
        <w:t xml:space="preserve">, </w:t>
      </w:r>
      <w:r w:rsidR="00CF3CE3" w:rsidRPr="00CF3CE3">
        <w:rPr>
          <w:rFonts w:ascii="Arial" w:hAnsi="Arial" w:cs="Arial"/>
          <w:color w:val="000000" w:themeColor="text1"/>
        </w:rPr>
        <w:t xml:space="preserve">que </w:t>
      </w:r>
      <w:r w:rsidR="00A17402" w:rsidRPr="00CF3CE3">
        <w:rPr>
          <w:rFonts w:ascii="Arial" w:hAnsi="Arial" w:cs="Arial"/>
          <w:color w:val="000000" w:themeColor="text1"/>
        </w:rPr>
        <w:t>proporcion</w:t>
      </w:r>
      <w:r w:rsidR="00CF3CE3" w:rsidRPr="00CF3CE3">
        <w:rPr>
          <w:rFonts w:ascii="Arial" w:hAnsi="Arial" w:cs="Arial"/>
          <w:color w:val="000000" w:themeColor="text1"/>
        </w:rPr>
        <w:t>em</w:t>
      </w:r>
      <w:r w:rsidR="00A17402" w:rsidRPr="00CF3CE3">
        <w:rPr>
          <w:rFonts w:ascii="Arial" w:hAnsi="Arial" w:cs="Arial"/>
          <w:color w:val="000000" w:themeColor="text1"/>
        </w:rPr>
        <w:t xml:space="preserve"> ao profissional um ambiente de construção do seu plano de desenvolvimento</w:t>
      </w:r>
      <w:r w:rsidRPr="00CF3CE3">
        <w:rPr>
          <w:rFonts w:ascii="Arial" w:hAnsi="Arial" w:cs="Arial"/>
          <w:color w:val="000000" w:themeColor="text1"/>
        </w:rPr>
        <w:t>.</w:t>
      </w:r>
    </w:p>
    <w:p w14:paraId="0D29FEF9" w14:textId="77777777" w:rsidR="008F44BD" w:rsidRPr="00CF3CE3" w:rsidRDefault="008F44BD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1F273C00" w14:textId="6EF3F085" w:rsidR="00A17402" w:rsidRDefault="0054477A" w:rsidP="0088439A">
      <w:pPr>
        <w:pStyle w:val="Ttulo1"/>
      </w:pPr>
      <w:bookmarkStart w:id="15" w:name="_Toc511834907"/>
      <w:r w:rsidRPr="00CF3CE3">
        <w:t>15ª Recomendação –</w:t>
      </w:r>
      <w:r w:rsidR="00CF3CE3" w:rsidRPr="00CF3CE3">
        <w:t xml:space="preserve"> </w:t>
      </w:r>
      <w:r w:rsidR="00A17402" w:rsidRPr="00CF3CE3">
        <w:t>Gestão da Informação</w:t>
      </w:r>
      <w:bookmarkEnd w:id="15"/>
    </w:p>
    <w:p w14:paraId="1F5F2171" w14:textId="77777777" w:rsidR="002337C8" w:rsidRPr="002337C8" w:rsidRDefault="002337C8" w:rsidP="002337C8"/>
    <w:p w14:paraId="3F357F8D" w14:textId="29F15E44" w:rsidR="00A17402" w:rsidRPr="00CF3CE3" w:rsidRDefault="00A17402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 xml:space="preserve">Aplicação de metodologia que permita a guarda e gestão de informações e documentos físicos e digitais, em arquivos </w:t>
      </w:r>
      <w:r w:rsidR="00CF3CE3" w:rsidRPr="00CF3CE3">
        <w:rPr>
          <w:rFonts w:ascii="Arial" w:hAnsi="Arial" w:cs="Arial"/>
          <w:color w:val="000000" w:themeColor="text1"/>
        </w:rPr>
        <w:t>interno, externos ou softwares.</w:t>
      </w:r>
    </w:p>
    <w:p w14:paraId="026B1CDE" w14:textId="167915AB" w:rsidR="0054477A" w:rsidRPr="00CF3CE3" w:rsidRDefault="00A17402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Criação</w:t>
      </w:r>
      <w:r w:rsidR="0054477A" w:rsidRPr="00CF3CE3">
        <w:rPr>
          <w:rFonts w:ascii="Arial" w:hAnsi="Arial" w:cs="Arial"/>
          <w:color w:val="000000" w:themeColor="text1"/>
        </w:rPr>
        <w:t xml:space="preserve"> de modelos de documentos, atas e formulários para registro e controle das atividades do Escritório ou Empresa, disponibilizando-os para as áreas internas como parte da política de Transparência e </w:t>
      </w:r>
      <w:r w:rsidR="0054477A" w:rsidRPr="00CF3CE3">
        <w:rPr>
          <w:rFonts w:ascii="Arial" w:hAnsi="Arial" w:cs="Arial"/>
          <w:i/>
          <w:color w:val="000000" w:themeColor="text1"/>
        </w:rPr>
        <w:t>Compliance</w:t>
      </w:r>
      <w:r w:rsidR="0054477A" w:rsidRPr="00CF3CE3">
        <w:rPr>
          <w:rFonts w:ascii="Arial" w:hAnsi="Arial" w:cs="Arial"/>
          <w:color w:val="000000" w:themeColor="text1"/>
        </w:rPr>
        <w:t>.</w:t>
      </w:r>
    </w:p>
    <w:p w14:paraId="67B5B0D8" w14:textId="77777777" w:rsidR="001A4176" w:rsidRPr="00CF3CE3" w:rsidRDefault="001A4176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550B0E8" w14:textId="28352C73" w:rsidR="001A4176" w:rsidRDefault="001A4176" w:rsidP="0088439A">
      <w:pPr>
        <w:pStyle w:val="Ttulo1"/>
        <w:jc w:val="both"/>
      </w:pPr>
      <w:bookmarkStart w:id="16" w:name="_Toc511834908"/>
      <w:r w:rsidRPr="00CF3CE3">
        <w:t>16ª Recomendação – Inovação Tecnológica e Renovação Constante</w:t>
      </w:r>
      <w:bookmarkEnd w:id="16"/>
    </w:p>
    <w:p w14:paraId="1AF701E2" w14:textId="77777777" w:rsidR="002337C8" w:rsidRPr="002337C8" w:rsidRDefault="002337C8" w:rsidP="002337C8"/>
    <w:p w14:paraId="13E873CB" w14:textId="093B21AF" w:rsidR="001A4176" w:rsidRPr="00CF3CE3" w:rsidRDefault="00AD6BEB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F3CE3">
        <w:rPr>
          <w:rFonts w:ascii="Arial" w:hAnsi="Arial" w:cs="Arial"/>
          <w:color w:val="000000" w:themeColor="text1"/>
        </w:rPr>
        <w:t>Aprimoramento contínuo da inovação tecnológica com foco no cliente, fazendo com que serviço seja prestado de maneira mais célere e eficaz possível. O investimento em tecnologia também permite que os colaboradores deixem de realizar tarefas operacionais e possam participar mais da estratégia e análise de tudo aquilo em que a intervenção profissional é imprescindível.</w:t>
      </w:r>
    </w:p>
    <w:p w14:paraId="0700DD3F" w14:textId="77777777" w:rsidR="00A704C7" w:rsidRPr="00CF3CE3" w:rsidRDefault="00A704C7" w:rsidP="00CF3CE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000DAA7" w14:textId="7271ABC7" w:rsidR="00A704C7" w:rsidRDefault="00A704C7" w:rsidP="0088439A">
      <w:pPr>
        <w:pStyle w:val="Ttulo1"/>
        <w:jc w:val="both"/>
      </w:pPr>
      <w:bookmarkStart w:id="17" w:name="_Toc511834909"/>
      <w:r w:rsidRPr="00CF3CE3">
        <w:lastRenderedPageBreak/>
        <w:t>17ª Recomendação – Armazenamento de Atos Societários e Procurações</w:t>
      </w:r>
      <w:bookmarkEnd w:id="17"/>
    </w:p>
    <w:p w14:paraId="0DD7E343" w14:textId="77777777" w:rsidR="002337C8" w:rsidRPr="002337C8" w:rsidRDefault="002337C8" w:rsidP="002337C8"/>
    <w:p w14:paraId="6BD13738" w14:textId="77777777" w:rsidR="00A704C7" w:rsidRPr="00CF3CE3" w:rsidRDefault="00A704C7" w:rsidP="00CF3CE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CE3">
        <w:rPr>
          <w:rFonts w:ascii="Arial" w:hAnsi="Arial" w:cs="Arial"/>
          <w:color w:val="000000" w:themeColor="text1"/>
          <w:sz w:val="24"/>
          <w:szCs w:val="24"/>
        </w:rPr>
        <w:t>Aplicação de um método, preferencialmente sistêmico, para a guarda e consulta aos Atos Societários e Procurações específicas dos gestores das áreas internas, com a indicação dos poderes outorgados e validade (controle de prazo para renovações).</w:t>
      </w:r>
    </w:p>
    <w:p w14:paraId="5F38F541" w14:textId="77777777" w:rsidR="00A704C7" w:rsidRPr="00CF3CE3" w:rsidRDefault="00A704C7" w:rsidP="00CF3CE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25ADBC" w14:textId="416E4DDD" w:rsidR="00A704C7" w:rsidRDefault="00A704C7" w:rsidP="0088439A">
      <w:pPr>
        <w:pStyle w:val="Ttulo1"/>
      </w:pPr>
      <w:bookmarkStart w:id="18" w:name="_Toc511834910"/>
      <w:r w:rsidRPr="00CF3CE3">
        <w:t>18ª Recomendação – Adoção de um software de Gestão</w:t>
      </w:r>
      <w:bookmarkEnd w:id="18"/>
    </w:p>
    <w:p w14:paraId="3FADDCD2" w14:textId="77777777" w:rsidR="002337C8" w:rsidRPr="002337C8" w:rsidRDefault="002337C8" w:rsidP="002337C8"/>
    <w:p w14:paraId="47346904" w14:textId="6E6271C2" w:rsidR="00A704C7" w:rsidRPr="00CF3CE3" w:rsidRDefault="00A704C7" w:rsidP="00CF3CE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CE3">
        <w:rPr>
          <w:rFonts w:ascii="Arial" w:hAnsi="Arial" w:cs="Arial"/>
          <w:color w:val="000000" w:themeColor="text1"/>
          <w:sz w:val="24"/>
          <w:szCs w:val="24"/>
        </w:rPr>
        <w:t>Adoção de um software de Gestão Processual e de Escritórios (software próprio ou de fornecedor externo) que possibilite controle e análise de dados que contribuem para a tomada de decisões importantes à Empresa, especialmente a análise de indicadores de eficiência dos Escritórios.</w:t>
      </w:r>
    </w:p>
    <w:sectPr w:rsidR="00A704C7" w:rsidRPr="00CF3CE3" w:rsidSect="00CF3CE3"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B0CB" w14:textId="77777777" w:rsidR="00114281" w:rsidRDefault="00114281" w:rsidP="0088439A">
      <w:pPr>
        <w:spacing w:after="0" w:line="240" w:lineRule="auto"/>
      </w:pPr>
      <w:r>
        <w:separator/>
      </w:r>
    </w:p>
  </w:endnote>
  <w:endnote w:type="continuationSeparator" w:id="0">
    <w:p w14:paraId="6CC5935F" w14:textId="77777777" w:rsidR="00114281" w:rsidRDefault="00114281" w:rsidP="0088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92840"/>
      <w:docPartObj>
        <w:docPartGallery w:val="Page Numbers (Bottom of Page)"/>
        <w:docPartUnique/>
      </w:docPartObj>
    </w:sdtPr>
    <w:sdtEndPr/>
    <w:sdtContent>
      <w:p w14:paraId="555E0CDA" w14:textId="62544E99" w:rsidR="0088439A" w:rsidRDefault="008843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19">
          <w:rPr>
            <w:noProof/>
          </w:rPr>
          <w:t>1</w:t>
        </w:r>
        <w:r>
          <w:fldChar w:fldCharType="end"/>
        </w:r>
      </w:p>
    </w:sdtContent>
  </w:sdt>
  <w:p w14:paraId="3AFE343B" w14:textId="77777777" w:rsidR="0088439A" w:rsidRDefault="008843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BE81" w14:textId="77777777" w:rsidR="00114281" w:rsidRDefault="00114281" w:rsidP="0088439A">
      <w:pPr>
        <w:spacing w:after="0" w:line="240" w:lineRule="auto"/>
      </w:pPr>
      <w:r>
        <w:separator/>
      </w:r>
    </w:p>
  </w:footnote>
  <w:footnote w:type="continuationSeparator" w:id="0">
    <w:p w14:paraId="07A8A393" w14:textId="77777777" w:rsidR="00114281" w:rsidRDefault="00114281" w:rsidP="0088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7A"/>
    <w:rsid w:val="000650B9"/>
    <w:rsid w:val="000A5719"/>
    <w:rsid w:val="000D75DD"/>
    <w:rsid w:val="000F21F9"/>
    <w:rsid w:val="00114281"/>
    <w:rsid w:val="00146980"/>
    <w:rsid w:val="00186B0C"/>
    <w:rsid w:val="001A4176"/>
    <w:rsid w:val="00204D66"/>
    <w:rsid w:val="002337C8"/>
    <w:rsid w:val="002D173F"/>
    <w:rsid w:val="00354D59"/>
    <w:rsid w:val="00355BB7"/>
    <w:rsid w:val="00362D16"/>
    <w:rsid w:val="003768C8"/>
    <w:rsid w:val="003859E7"/>
    <w:rsid w:val="00451460"/>
    <w:rsid w:val="0049202D"/>
    <w:rsid w:val="004A1A29"/>
    <w:rsid w:val="004D5730"/>
    <w:rsid w:val="0054477A"/>
    <w:rsid w:val="00590593"/>
    <w:rsid w:val="00593FE2"/>
    <w:rsid w:val="005F0308"/>
    <w:rsid w:val="00603C98"/>
    <w:rsid w:val="0069049E"/>
    <w:rsid w:val="006E7F94"/>
    <w:rsid w:val="00772D5A"/>
    <w:rsid w:val="007968FA"/>
    <w:rsid w:val="0088439A"/>
    <w:rsid w:val="008B5556"/>
    <w:rsid w:val="008C548D"/>
    <w:rsid w:val="008F44BD"/>
    <w:rsid w:val="008F6CC0"/>
    <w:rsid w:val="009530C4"/>
    <w:rsid w:val="00970004"/>
    <w:rsid w:val="00970757"/>
    <w:rsid w:val="00A17402"/>
    <w:rsid w:val="00A4734C"/>
    <w:rsid w:val="00A704C7"/>
    <w:rsid w:val="00AD6BEB"/>
    <w:rsid w:val="00B120B1"/>
    <w:rsid w:val="00C2622B"/>
    <w:rsid w:val="00C94EF9"/>
    <w:rsid w:val="00CF3CE3"/>
    <w:rsid w:val="00CF3F7D"/>
    <w:rsid w:val="00D524DE"/>
    <w:rsid w:val="00D733A3"/>
    <w:rsid w:val="00D94BF8"/>
    <w:rsid w:val="00DE6EFF"/>
    <w:rsid w:val="00ED49C5"/>
    <w:rsid w:val="00EE2BC7"/>
    <w:rsid w:val="00F91A13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2A73"/>
  <w15:docId w15:val="{E023594E-0989-4243-8DD7-1CD6CE9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7000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2D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D5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D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D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D5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D5A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CF3CE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F3CE3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84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39A"/>
  </w:style>
  <w:style w:type="paragraph" w:styleId="Rodap">
    <w:name w:val="footer"/>
    <w:basedOn w:val="Normal"/>
    <w:link w:val="RodapChar"/>
    <w:uiPriority w:val="99"/>
    <w:unhideWhenUsed/>
    <w:rsid w:val="00884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39A"/>
  </w:style>
  <w:style w:type="paragraph" w:styleId="CabealhodoSumrio">
    <w:name w:val="TOC Heading"/>
    <w:basedOn w:val="Ttulo1"/>
    <w:next w:val="Normal"/>
    <w:uiPriority w:val="39"/>
    <w:unhideWhenUsed/>
    <w:qFormat/>
    <w:rsid w:val="0088439A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843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Cartilha                  de                          Boas            Práticas                 da              Advocacia       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D535-1191-4E50-A11A-BF49C87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Pezzi</dc:creator>
  <cp:lastModifiedBy>Caroline Tatsch</cp:lastModifiedBy>
  <cp:revision>2</cp:revision>
  <dcterms:created xsi:type="dcterms:W3CDTF">2018-04-20T18:58:00Z</dcterms:created>
  <dcterms:modified xsi:type="dcterms:W3CDTF">2018-04-20T18:58:00Z</dcterms:modified>
</cp:coreProperties>
</file>